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49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2209" w:firstLineChars="500"/>
        <w:jc w:val="both"/>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富顺县医共体总医院</w:t>
      </w:r>
    </w:p>
    <w:p w14:paraId="701C59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883" w:firstLineChars="200"/>
        <w:jc w:val="center"/>
        <w:textAlignment w:val="auto"/>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2025年灭四害及白蚁等虫害治理服  务项目市场调研公告</w:t>
      </w:r>
    </w:p>
    <w:p w14:paraId="6BBB1818">
      <w:pPr>
        <w:keepNext w:val="0"/>
        <w:keepLines w:val="0"/>
        <w:pageBreakBefore w:val="0"/>
        <w:kinsoku/>
        <w:wordWrap/>
        <w:overflowPunct/>
        <w:topLinePunct w:val="0"/>
        <w:autoSpaceDE/>
        <w:autoSpaceDN/>
        <w:bidi w:val="0"/>
        <w:spacing w:line="560" w:lineRule="exact"/>
        <w:ind w:left="0" w:leftChars="0" w:right="0" w:rightChars="0" w:firstLine="880" w:firstLineChars="200"/>
        <w:textAlignment w:val="auto"/>
        <w:rPr>
          <w:rFonts w:hint="eastAsia" w:ascii="方正小标宋简体" w:hAnsi="方正小标宋简体" w:eastAsia="方正小标宋简体" w:cs="方正小标宋简体"/>
          <w:color w:val="auto"/>
          <w:sz w:val="44"/>
          <w:szCs w:val="44"/>
          <w:lang w:val="en-US" w:eastAsia="zh-CN"/>
        </w:rPr>
      </w:pPr>
    </w:p>
    <w:p w14:paraId="3E5695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我院拟对医共体总医院成员单位灭四害及白蚁等虫害治理服务采购项目市场调研，本次供应商遴选周期为</w:t>
      </w:r>
      <w:r>
        <w:rPr>
          <w:rFonts w:hint="eastAsia" w:ascii="仿宋_GB2312" w:hAnsi="仿宋_GB2312" w:eastAsia="仿宋_GB2312" w:cs="仿宋_GB2312"/>
          <w:b w:val="0"/>
          <w:bCs w:val="0"/>
          <w:kern w:val="0"/>
          <w:sz w:val="32"/>
          <w:szCs w:val="32"/>
          <w:highlight w:val="none"/>
          <w:u w:val="none"/>
          <w:lang w:val="en-US" w:eastAsia="zh-CN" w:bidi="ar-SA"/>
        </w:rPr>
        <w:t>两年。</w:t>
      </w:r>
      <w:r>
        <w:rPr>
          <w:rFonts w:hint="eastAsia" w:ascii="仿宋_GB2312" w:hAnsi="仿宋_GB2312" w:eastAsia="仿宋_GB2312" w:cs="仿宋_GB2312"/>
          <w:b w:val="0"/>
          <w:bCs w:val="0"/>
          <w:kern w:val="0"/>
          <w:sz w:val="32"/>
          <w:szCs w:val="32"/>
          <w:highlight w:val="none"/>
          <w:lang w:val="en-US" w:eastAsia="zh-CN" w:bidi="ar-SA"/>
        </w:rPr>
        <w:t>现面向社会公示，诚邀符合条件的供应商参加。</w:t>
      </w:r>
    </w:p>
    <w:p w14:paraId="2C51C6F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一、项目相关信息</w:t>
      </w:r>
    </w:p>
    <w:p w14:paraId="1D28B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auto"/>
          <w:spacing w:val="0"/>
          <w:sz w:val="32"/>
          <w:szCs w:val="32"/>
          <w:u w:val="none"/>
        </w:rPr>
      </w:pPr>
      <w:r>
        <w:rPr>
          <w:rFonts w:hint="eastAsia" w:ascii="仿宋_GB2312" w:hAnsi="仿宋_GB2312" w:eastAsia="仿宋_GB2312" w:cs="仿宋_GB2312"/>
          <w:b w:val="0"/>
          <w:bCs w:val="0"/>
          <w:kern w:val="0"/>
          <w:sz w:val="32"/>
          <w:szCs w:val="32"/>
          <w:highlight w:val="none"/>
          <w:lang w:val="en-US" w:eastAsia="zh-CN" w:bidi="ar-SA"/>
        </w:rPr>
        <w:t>项目名称：富顺县医共体总医院灭四害及白蚁等虫害治理服务采购项目；</w:t>
      </w:r>
    </w:p>
    <w:p w14:paraId="1D78F8B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二、项目概述</w:t>
      </w:r>
    </w:p>
    <w:p w14:paraId="498FC2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本项目为富顺县医共体总医院灭四害及白蚁等虫害治理服务项目，主要工作内容下：</w:t>
      </w:r>
    </w:p>
    <w:p w14:paraId="22A4CC28">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kern w:val="0"/>
          <w:sz w:val="32"/>
          <w:szCs w:val="32"/>
          <w:highlight w:val="none"/>
          <w:lang w:val="en-US" w:eastAsia="zh-CN" w:bidi="ar-SA"/>
        </w:rPr>
        <w:t>（一）灭四害及白蚁等虫害治理服务报价表</w:t>
      </w:r>
    </w:p>
    <w:tbl>
      <w:tblPr>
        <w:tblStyle w:val="6"/>
        <w:tblpPr w:leftFromText="180" w:rightFromText="180" w:vertAnchor="text" w:horzAnchor="page" w:tblpX="1300" w:tblpY="109"/>
        <w:tblOverlap w:val="never"/>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5"/>
        <w:gridCol w:w="2521"/>
        <w:gridCol w:w="2319"/>
        <w:gridCol w:w="1642"/>
      </w:tblGrid>
      <w:tr w14:paraId="6A90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135" w:type="dxa"/>
            <w:vAlign w:val="center"/>
          </w:tcPr>
          <w:p w14:paraId="1A2254FE">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default" w:ascii="仿宋" w:hAnsi="仿宋" w:eastAsia="仿宋" w:cs="仿宋"/>
                <w:b/>
                <w:i w:val="0"/>
                <w:iCs w:val="0"/>
                <w:color w:val="auto"/>
                <w:sz w:val="28"/>
                <w:szCs w:val="28"/>
                <w:lang w:val="en-US" w:eastAsia="zh-CN"/>
              </w:rPr>
            </w:pPr>
            <w:r>
              <w:rPr>
                <w:rFonts w:hint="eastAsia" w:ascii="仿宋" w:hAnsi="仿宋" w:eastAsia="仿宋" w:cs="仿宋"/>
                <w:b/>
                <w:i w:val="0"/>
                <w:iCs w:val="0"/>
                <w:color w:val="auto"/>
                <w:sz w:val="28"/>
                <w:szCs w:val="28"/>
                <w:lang w:val="en-US" w:eastAsia="zh-CN"/>
              </w:rPr>
              <w:t>单位名称</w:t>
            </w:r>
          </w:p>
        </w:tc>
        <w:tc>
          <w:tcPr>
            <w:tcW w:w="2521" w:type="dxa"/>
            <w:vAlign w:val="center"/>
          </w:tcPr>
          <w:p w14:paraId="0B440C19">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i w:val="0"/>
                <w:iCs w:val="0"/>
                <w:caps w:val="0"/>
                <w:color w:val="000000"/>
                <w:spacing w:val="0"/>
                <w:sz w:val="27"/>
                <w:szCs w:val="27"/>
              </w:rPr>
              <w:t>房屋建筑面积（㎡）</w:t>
            </w:r>
          </w:p>
        </w:tc>
        <w:tc>
          <w:tcPr>
            <w:tcW w:w="2319" w:type="dxa"/>
            <w:vAlign w:val="center"/>
          </w:tcPr>
          <w:p w14:paraId="72513223">
            <w:pPr>
              <w:keepNext w:val="0"/>
              <w:keepLines w:val="0"/>
              <w:pageBreakBefore w:val="0"/>
              <w:widowControl/>
              <w:numPr>
                <w:ilvl w:val="0"/>
                <w:numId w:val="0"/>
              </w:numPr>
              <w:suppressLineNumbers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b/>
                <w:bCs/>
                <w:color w:val="000000"/>
                <w:kern w:val="0"/>
                <w:sz w:val="24"/>
                <w:szCs w:val="24"/>
                <w:vertAlign w:val="baseline"/>
                <w:lang w:val="en-US" w:eastAsia="zh-CN" w:bidi="ar"/>
              </w:rPr>
              <w:t>市场调研报价（元）</w:t>
            </w:r>
          </w:p>
        </w:tc>
        <w:tc>
          <w:tcPr>
            <w:tcW w:w="1642" w:type="dxa"/>
            <w:vAlign w:val="center"/>
          </w:tcPr>
          <w:p w14:paraId="38DEEB03">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仿宋" w:hAnsi="仿宋" w:eastAsia="仿宋" w:cs="仿宋"/>
                <w:b/>
                <w:i w:val="0"/>
                <w:iCs w:val="0"/>
                <w:color w:val="auto"/>
                <w:sz w:val="28"/>
                <w:szCs w:val="28"/>
                <w:lang w:val="en-US" w:eastAsia="zh-CN"/>
              </w:rPr>
            </w:pPr>
            <w:r>
              <w:rPr>
                <w:rFonts w:hint="eastAsia" w:ascii="仿宋" w:hAnsi="仿宋" w:eastAsia="仿宋" w:cs="仿宋"/>
                <w:b/>
                <w:i w:val="0"/>
                <w:iCs w:val="0"/>
                <w:color w:val="auto"/>
                <w:sz w:val="28"/>
                <w:szCs w:val="28"/>
                <w:lang w:val="en-US" w:eastAsia="zh-CN"/>
              </w:rPr>
              <w:t>备注</w:t>
            </w:r>
          </w:p>
        </w:tc>
      </w:tr>
      <w:tr w14:paraId="54D8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3135" w:type="dxa"/>
            <w:vAlign w:val="center"/>
          </w:tcPr>
          <w:p w14:paraId="35DD5D9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富顺县人民医院</w:t>
            </w:r>
          </w:p>
        </w:tc>
        <w:tc>
          <w:tcPr>
            <w:tcW w:w="2521" w:type="dxa"/>
            <w:vAlign w:val="center"/>
          </w:tcPr>
          <w:p w14:paraId="655FE8F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120072.17</w:t>
            </w:r>
          </w:p>
        </w:tc>
        <w:tc>
          <w:tcPr>
            <w:tcW w:w="2319" w:type="dxa"/>
            <w:vAlign w:val="center"/>
          </w:tcPr>
          <w:p w14:paraId="0C60B81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242D12B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6E5D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3135" w:type="dxa"/>
            <w:vAlign w:val="center"/>
          </w:tcPr>
          <w:p w14:paraId="76B2AD3C">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富顺县中医医院</w:t>
            </w:r>
          </w:p>
        </w:tc>
        <w:tc>
          <w:tcPr>
            <w:tcW w:w="2521" w:type="dxa"/>
            <w:vAlign w:val="center"/>
          </w:tcPr>
          <w:p w14:paraId="76D5B84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88247</w:t>
            </w:r>
          </w:p>
        </w:tc>
        <w:tc>
          <w:tcPr>
            <w:tcW w:w="2319" w:type="dxa"/>
            <w:vAlign w:val="center"/>
          </w:tcPr>
          <w:p w14:paraId="4D656420">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0AD0123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531D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3135" w:type="dxa"/>
            <w:vAlign w:val="center"/>
          </w:tcPr>
          <w:p w14:paraId="6565B3D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富顺县晨光医院</w:t>
            </w:r>
          </w:p>
        </w:tc>
        <w:tc>
          <w:tcPr>
            <w:tcW w:w="2521" w:type="dxa"/>
            <w:vAlign w:val="center"/>
          </w:tcPr>
          <w:p w14:paraId="140B6EF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19000</w:t>
            </w:r>
          </w:p>
        </w:tc>
        <w:tc>
          <w:tcPr>
            <w:tcW w:w="2319" w:type="dxa"/>
            <w:vAlign w:val="center"/>
          </w:tcPr>
          <w:p w14:paraId="3CD83D5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42DB6C3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01C3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3135" w:type="dxa"/>
            <w:vAlign w:val="center"/>
          </w:tcPr>
          <w:p w14:paraId="50778A29">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富顺县妇幼保健院</w:t>
            </w:r>
          </w:p>
        </w:tc>
        <w:tc>
          <w:tcPr>
            <w:tcW w:w="2521" w:type="dxa"/>
            <w:vAlign w:val="center"/>
          </w:tcPr>
          <w:p w14:paraId="4BFF71A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30520</w:t>
            </w:r>
          </w:p>
        </w:tc>
        <w:tc>
          <w:tcPr>
            <w:tcW w:w="2319" w:type="dxa"/>
            <w:vAlign w:val="center"/>
          </w:tcPr>
          <w:p w14:paraId="2C8BB6BA">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5FFBA2E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6B86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3135" w:type="dxa"/>
            <w:vAlign w:val="center"/>
          </w:tcPr>
          <w:p w14:paraId="5977203E">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富顺县精神病医院</w:t>
            </w:r>
          </w:p>
        </w:tc>
        <w:tc>
          <w:tcPr>
            <w:tcW w:w="2521" w:type="dxa"/>
            <w:vAlign w:val="center"/>
          </w:tcPr>
          <w:p w14:paraId="509EC30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11000</w:t>
            </w:r>
          </w:p>
        </w:tc>
        <w:tc>
          <w:tcPr>
            <w:tcW w:w="2319" w:type="dxa"/>
            <w:vAlign w:val="center"/>
          </w:tcPr>
          <w:p w14:paraId="6E9E78F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7E5876D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3C02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3135" w:type="dxa"/>
            <w:vAlign w:val="center"/>
          </w:tcPr>
          <w:p w14:paraId="5D7F664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代寺镇中心卫生院</w:t>
            </w:r>
          </w:p>
        </w:tc>
        <w:tc>
          <w:tcPr>
            <w:tcW w:w="2521" w:type="dxa"/>
            <w:vAlign w:val="center"/>
          </w:tcPr>
          <w:p w14:paraId="4E21683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8100</w:t>
            </w:r>
          </w:p>
        </w:tc>
        <w:tc>
          <w:tcPr>
            <w:tcW w:w="2319" w:type="dxa"/>
            <w:vAlign w:val="center"/>
          </w:tcPr>
          <w:p w14:paraId="19713F02">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5410C98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4059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135" w:type="dxa"/>
            <w:vAlign w:val="center"/>
          </w:tcPr>
          <w:p w14:paraId="7EA61C8D">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东湖街道卫生服务中心</w:t>
            </w:r>
          </w:p>
        </w:tc>
        <w:tc>
          <w:tcPr>
            <w:tcW w:w="2521" w:type="dxa"/>
            <w:vAlign w:val="center"/>
          </w:tcPr>
          <w:p w14:paraId="79A050B1">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5009</w:t>
            </w:r>
          </w:p>
        </w:tc>
        <w:tc>
          <w:tcPr>
            <w:tcW w:w="2319" w:type="dxa"/>
            <w:vAlign w:val="center"/>
          </w:tcPr>
          <w:p w14:paraId="46306A91">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297E1511">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2C2F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3135" w:type="dxa"/>
            <w:vAlign w:val="center"/>
          </w:tcPr>
          <w:p w14:paraId="0D202D5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富世街道卫生服务中心</w:t>
            </w:r>
          </w:p>
        </w:tc>
        <w:tc>
          <w:tcPr>
            <w:tcW w:w="2521" w:type="dxa"/>
            <w:vAlign w:val="center"/>
          </w:tcPr>
          <w:p w14:paraId="4D713726">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4418</w:t>
            </w:r>
          </w:p>
        </w:tc>
        <w:tc>
          <w:tcPr>
            <w:tcW w:w="2319" w:type="dxa"/>
            <w:vAlign w:val="center"/>
          </w:tcPr>
          <w:p w14:paraId="046136FC">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4F24F39F">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r w14:paraId="7CB3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3135" w:type="dxa"/>
            <w:vAlign w:val="center"/>
          </w:tcPr>
          <w:p w14:paraId="2201E11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福善镇卫生院</w:t>
            </w:r>
          </w:p>
        </w:tc>
        <w:tc>
          <w:tcPr>
            <w:tcW w:w="2521" w:type="dxa"/>
            <w:vAlign w:val="center"/>
          </w:tcPr>
          <w:p w14:paraId="4D6C6E7A">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r>
              <w:rPr>
                <w:rFonts w:hint="eastAsia" w:ascii="仿宋" w:hAnsi="仿宋" w:eastAsia="仿宋" w:cs="仿宋"/>
                <w:i w:val="0"/>
                <w:iCs w:val="0"/>
                <w:color w:val="auto"/>
                <w:sz w:val="28"/>
                <w:szCs w:val="28"/>
                <w:lang w:val="en-US" w:eastAsia="zh-CN"/>
              </w:rPr>
              <w:t>1634</w:t>
            </w:r>
          </w:p>
        </w:tc>
        <w:tc>
          <w:tcPr>
            <w:tcW w:w="2319" w:type="dxa"/>
            <w:vAlign w:val="center"/>
          </w:tcPr>
          <w:p w14:paraId="34CA5DE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highlight w:val="none"/>
                <w:lang w:val="en-US" w:eastAsia="zh-CN"/>
              </w:rPr>
            </w:pPr>
          </w:p>
        </w:tc>
        <w:tc>
          <w:tcPr>
            <w:tcW w:w="1642" w:type="dxa"/>
            <w:vAlign w:val="center"/>
          </w:tcPr>
          <w:p w14:paraId="7054882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 w:hAnsi="仿宋" w:eastAsia="仿宋" w:cs="仿宋"/>
                <w:i w:val="0"/>
                <w:iCs w:val="0"/>
                <w:color w:val="auto"/>
                <w:sz w:val="28"/>
                <w:szCs w:val="28"/>
                <w:lang w:val="en-US" w:eastAsia="zh-CN"/>
              </w:rPr>
            </w:pPr>
          </w:p>
        </w:tc>
      </w:tr>
    </w:tbl>
    <w:p w14:paraId="6A633C9A">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（二）服务内容</w:t>
      </w:r>
    </w:p>
    <w:p w14:paraId="61E03320">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1.服务区域： 富顺县人民医院、富顺县中医医院、富顺县晨光医院、富顺县妇幼保健院、富顺县精神病医院、代寺镇中心卫生院、</w:t>
      </w:r>
      <w:r>
        <w:rPr>
          <w:rFonts w:hint="eastAsia" w:ascii="仿宋" w:hAnsi="仿宋" w:eastAsia="仿宋" w:cs="仿宋"/>
          <w:i w:val="0"/>
          <w:iCs w:val="0"/>
          <w:color w:val="auto"/>
          <w:sz w:val="28"/>
          <w:szCs w:val="28"/>
          <w:lang w:val="en-US" w:eastAsia="zh-CN"/>
        </w:rPr>
        <w:t>东湖街道卫生服务中心、富世街道卫生服务中心、福善镇卫生院，共计9家医共体成员单位。</w:t>
      </w:r>
    </w:p>
    <w:p w14:paraId="7289717C">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2.害虫种类：■老鼠  ■蟑螂  ■蚊虫  ■苍蝇  ■白蚁  ■隐翅虫  ■驱蛇</w:t>
      </w:r>
      <w:r>
        <w:rPr>
          <w:rFonts w:hint="default" w:ascii="仿宋_GB2312" w:hAnsi="仿宋_GB2312" w:eastAsia="仿宋_GB2312" w:cs="仿宋_GB2312"/>
          <w:b w:val="0"/>
          <w:bCs w:val="0"/>
          <w:kern w:val="0"/>
          <w:sz w:val="32"/>
          <w:szCs w:val="32"/>
          <w:highlight w:val="none"/>
          <w:lang w:val="en-US" w:eastAsia="zh-CN" w:bidi="ar-SA"/>
        </w:rPr>
        <w:t>等</w:t>
      </w:r>
    </w:p>
    <w:p w14:paraId="0644DC07">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3.乙方提供免费增值服务内容，包括增加消杀次数、蜂类、鸟类驱除等。</w:t>
      </w:r>
    </w:p>
    <w:p w14:paraId="4B943E18">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 xml:space="preserve">4.约定服务地址以外的区域，不在服务约定责任内。  </w:t>
      </w:r>
    </w:p>
    <w:p w14:paraId="02E95C0B">
      <w:pPr>
        <w:pStyle w:val="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5.日常生活中罕见害虫、鸟种类驱除，不在服务内容，甲方需要乙方提供服务时，可双方协商按不高于市场同期价格执行。</w:t>
      </w:r>
    </w:p>
    <w:p w14:paraId="727561F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default"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（三）服务技术要求</w:t>
      </w:r>
    </w:p>
    <w:p w14:paraId="516B651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1.灭蝇</w:t>
      </w:r>
    </w:p>
    <w:p w14:paraId="06FAD5A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院区每月全面消杀至少4次(可根据实际情况增加消杀次数)。每月至少1次检查所有户外潜在滋生地，鉴定害虫程度。在所有发现受害虫影响的地点，采用非化学或“化学重点处理”的方法，使用适合的器械提供即时灭除，同时根据需要可采用“化学方法”进行长效灭蝇处理(所使用的杀虫剂均符合国家标准，具有农药许可证)。</w:t>
      </w:r>
    </w:p>
    <w:p w14:paraId="3FA932D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每周至少1次检查所有室内置放的灭蝇灯等设施，并做好记录。灭蝇灯设有位置标识、检查日期等，并按需要作出清洁或更换。同时我院会根据各部门具体情况提出合理建议。</w:t>
      </w:r>
    </w:p>
    <w:p w14:paraId="5C182D7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default" w:ascii="Calibri" w:hAnsi="Calibri" w:eastAsia="仿宋_GB2312" w:cs="Calibri"/>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每月至少1次检查所有缺乏、不足或所需改进的防治虫害的设施及器具 (如安装纱门、加装灭蝇灯等并通知甲方进行安装),以确保达到最有效的防治害虫入侵的效果。</w:t>
      </w:r>
    </w:p>
    <w:p w14:paraId="382EDAC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为减小对室内区域造成不必要的污染，故特定的使用药物进行化学处理。</w:t>
      </w:r>
    </w:p>
    <w:p w14:paraId="6D6C7C4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只在以下原因进行：当检查时，在各科室、仓库、办公室等室内如发现因缺乏防治措施而受到飞虫活动影响的空间，将采用超低容量喷雾器(进行前将通过甲方许可方可安排)对室内进行空间喷雾，以控制其中活跃的害虫。所处理的空间应保持密闭最少2小时，确保达到最佳处理结果。</w:t>
      </w:r>
    </w:p>
    <w:p w14:paraId="6CA2925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2.灭蚊</w:t>
      </w:r>
    </w:p>
    <w:p w14:paraId="3AC649E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各区域每月至少全面消杀至少4次(可根据实际情况增加消杀次数)。</w:t>
      </w:r>
    </w:p>
    <w:p w14:paraId="5ACD7FA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每月至少1次检查所有户外潜在滋生地，鉴定害虫程度。在所有发现受害虫影响的地点，采用非化学或“化学重点处理”的方法，使用适合的器械提供即时灭除，同时根据需要可采用"化学方法"进行长效灭蚊处理。</w:t>
      </w:r>
    </w:p>
    <w:p w14:paraId="6FA2017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每周至少1次检查所有室内置放的灭蚊灯等设施，并做好记录。灭蚊灯设有位置标识、检查日期等，并按需要作出清洁或更换，同时我院会根据各部门具体情况提出合理建议。</w:t>
      </w:r>
    </w:p>
    <w:p w14:paraId="5554B65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每月至少1次检查所有缺乏、不足或所需改进的防治虫害的设施及器具 (如安装纱门、加装灭蚊灯等),以确保达到最有效的防治害虫入侵的效果。</w:t>
      </w:r>
    </w:p>
    <w:p w14:paraId="27317BB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为减小对室内区域造成不必要的污染，故特定的使用药物进行化学处理只在以下原因进行：当检查时，在各科室、仓库、办公室等室内如发现因缺乏防 治措施而受到飞虫活动影响的空间，将采用超低容量喷雾器(进行前将通过客户 许可方可安排)对室内进行空间喷雾，以控制其中活跃的害虫，所处理的空间应 保持密闭最少2小时，确保达到最佳处理结果。</w:t>
      </w:r>
    </w:p>
    <w:p w14:paraId="718078E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3.灭鼠</w:t>
      </w:r>
    </w:p>
    <w:p w14:paraId="7739B4A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院区每月至少4次(可根据实际情况增加次数)，未发生盗食、潮湿等情况时，鼠饵必须每月更换一次(2-4月份应适量增加更换次数)。</w:t>
      </w:r>
    </w:p>
    <w:p w14:paraId="1377553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首先在院区内建筑物周边(如车间、仓库、食堂、办公楼等处)安放并固定“鼠盒”,其间隔10-15米，按规定紧贴墙根处放置。所放置的鼠盒均需上锁 并必须设有标识和编号(警告危险标志)，并记录数量且用平面图标示出摆放位置；鼠盒有损坏或 更新时并及时做出相应的更新。每周至少1次对所有户外安装的鼠盒进行检查(并做好详细记录),以确定迅速控制鼠害。</w:t>
      </w:r>
    </w:p>
    <w:p w14:paraId="46C9283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每月4次对所有室内置放的捕鼠设施进行检查，鉴定鼠害情况，并做好详细记录。</w:t>
      </w:r>
    </w:p>
    <w:p w14:paraId="443D775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每月至少1次对所有缺乏或所需改进的防鼠措施进行检查，以确定是否达到最有效之防治鼠害入侵(对易受鼠害场所的地方如门、窗、下水道、通风孔外围的洞道等每月进行检查(发现问题时及时提出合理建议并协助修补防鼠设施)。</w:t>
      </w:r>
    </w:p>
    <w:p w14:paraId="248B652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对鼠密度(每季度做一次用粉迹法)每月(按每周检查数据做出趋势分析图)进行监测至少1次，测试方法按国家相关的标准进行，如测试结果超过标准，应主动联系甲方相关负责人，并增加对该区域的灭鼠频率，直接再次测量鼠密度符合要求后才能按正常频率进行灭鼠计划。</w:t>
      </w:r>
    </w:p>
    <w:p w14:paraId="29C2EB2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4.灭蟑螂</w:t>
      </w:r>
    </w:p>
    <w:p w14:paraId="674F682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每月至少全面消杀至少4次。在爬虫密集区(如食堂、绿化带等)将根据现场情况临时增加作业次数。每月至少4次对所有潜在栖息地进行检查，从而鉴定虫害程度。在所有发现已受害虫影响之地，将采用非化学或化学重点处理方法，使用适合之器械提供即时杀灭。</w:t>
      </w:r>
    </w:p>
    <w:p w14:paraId="3DF80A6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每月至少2次对所有室内置放之监察粘捕贴进行检查，从而鉴定虫害程度。监察粘捕贴将按需要时作出更换。在所有发现已受虫害影响之地点或虫害活跃高峰季节期，将采用非化学或化学处理方法，提供即时杀灭。</w:t>
      </w:r>
    </w:p>
    <w:p w14:paraId="2FE8515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检查建筑物内外，发现美洲大蠊、德国小蠊在下水道或沟渠附近活动时，将采用热烟雾器械进行下水道灭爬虫及其它滋生害虫处理。</w:t>
      </w:r>
    </w:p>
    <w:p w14:paraId="30D3F56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当检查时，在院区室内发现活跃及严重程度爬虫出没地点，将采用背负式喷雾器进行地角线处理，从而达致以最小污染处理受到影响之地点，获取最有效之控制。</w:t>
      </w:r>
    </w:p>
    <w:p w14:paraId="0BB9980E">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5.其它虫类的防治及应急处置</w:t>
      </w:r>
    </w:p>
    <w:p w14:paraId="041DB71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乙方应根据天气情况随时采取必要措施对蛇类进行驱离，其他虫类根据 发生情况随时处理，并提供防治方案。</w:t>
      </w:r>
    </w:p>
    <w:p w14:paraId="7D4AF83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除上述在规定的时间内达到消杀频次外，还应承担在合同期间遇灾害、突发公共卫生事件应急消杀和重大活动的除“四害”消杀。</w:t>
      </w:r>
    </w:p>
    <w:p w14:paraId="1026C8C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（四）服务质量</w:t>
      </w:r>
    </w:p>
    <w:p w14:paraId="19F72A3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1.质量标准</w:t>
      </w:r>
    </w:p>
    <w:p w14:paraId="0CEE091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除四害及其他虫类防治服务质量必须达到国家病媒生物密度控制水平标准A级及以上。</w:t>
      </w:r>
    </w:p>
    <w:p w14:paraId="2DED0FD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2.灭鼠质量要求</w:t>
      </w:r>
    </w:p>
    <w:p w14:paraId="084B821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一平方米标准房间布放20×20厘米滑石粉块两块， 一夜后阳性粉块不超过3%;有鼠洞、鼠粪、鼠咬等痕迹的房间不超过1%;重点单位防鼠设施不合格处不超过3%。</w:t>
      </w:r>
    </w:p>
    <w:p w14:paraId="6363A6F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不同类型的外环境累计2000米，鼠迹不超过3处。</w:t>
      </w:r>
    </w:p>
    <w:p w14:paraId="44AC3F4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3.灭蚊质量要求</w:t>
      </w:r>
    </w:p>
    <w:p w14:paraId="3B07765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单位内外环境各种存水容器和积水中，蚊幼虫及蛹的阳性率不超过2%。</w:t>
      </w:r>
    </w:p>
    <w:p w14:paraId="4700C00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用500ml收集勺采集区内大中型水体中的蚊幼虫或蛹阳性率不超过2%,阳性勺内幼虫或蛹的平均数不超过3只。</w:t>
      </w:r>
    </w:p>
    <w:p w14:paraId="71D408F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特殊场所白天人诱蚊30分钟，平均每人次诱获成蚊数不超过3只。</w:t>
      </w:r>
    </w:p>
    <w:p w14:paraId="28249EF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4.灭蝇质量要求</w:t>
      </w:r>
    </w:p>
    <w:p w14:paraId="6427E2F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重点单位有蝇房间不超过1%,其它单位不超过2%,平均每阳性房间不超过2只；重点单位防蝇设施不合格房间不超过3%。</w:t>
      </w:r>
    </w:p>
    <w:p w14:paraId="49084CD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蝇类滋生地得到有效治理，幼虫和蛹的检出率不超过2%。</w:t>
      </w:r>
    </w:p>
    <w:p w14:paraId="5D51D2A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楷体_GB2312" w:hAnsi="楷体_GB2312" w:eastAsia="楷体_GB2312" w:cs="楷体_GB2312"/>
          <w:b/>
          <w:bCs/>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5.灭爬虫质量要求</w:t>
      </w:r>
    </w:p>
    <w:p w14:paraId="7CD5BD9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室内有爬虫成虫或若虫阳性房间不超过3%,平均每间房大蠊不超过3只小蠊不超过6只。</w:t>
      </w:r>
    </w:p>
    <w:p w14:paraId="13661F0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活爬虫卵鞘房间不超过2%,平均每间房不超过4只。爬虫粪便蜕皮等蟑迹的房间不超过5%。</w:t>
      </w:r>
    </w:p>
    <w:p w14:paraId="45B85A9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3"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楷体_GB2312" w:hAnsi="楷体_GB2312" w:eastAsia="楷体_GB2312" w:cs="楷体_GB2312"/>
          <w:b/>
          <w:bCs/>
          <w:kern w:val="0"/>
          <w:sz w:val="32"/>
          <w:szCs w:val="32"/>
          <w:highlight w:val="none"/>
          <w:lang w:val="en-US" w:eastAsia="zh-CN" w:bidi="ar-SA"/>
        </w:rPr>
        <w:t>6.药物和器械安全要求</w:t>
      </w:r>
    </w:p>
    <w:p w14:paraId="67C7F6A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①</w:t>
      </w:r>
      <w:r>
        <w:rPr>
          <w:rFonts w:hint="eastAsia" w:ascii="仿宋_GB2312" w:hAnsi="仿宋_GB2312" w:eastAsia="仿宋_GB2312" w:cs="仿宋_GB2312"/>
          <w:b w:val="0"/>
          <w:bCs w:val="0"/>
          <w:kern w:val="0"/>
          <w:sz w:val="32"/>
          <w:szCs w:val="32"/>
          <w:highlight w:val="none"/>
          <w:lang w:val="en-US" w:eastAsia="zh-CN" w:bidi="ar-SA"/>
        </w:rPr>
        <w:t>卫生害虫防制所使用的药物须是国家规定允许使用的卫生杀虫剂 (以下简称药物)。</w:t>
      </w:r>
    </w:p>
    <w:p w14:paraId="46073BF7">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②</w:t>
      </w:r>
      <w:r>
        <w:rPr>
          <w:rFonts w:hint="eastAsia" w:ascii="仿宋_GB2312" w:hAnsi="仿宋_GB2312" w:eastAsia="仿宋_GB2312" w:cs="仿宋_GB2312"/>
          <w:b w:val="0"/>
          <w:bCs w:val="0"/>
          <w:kern w:val="0"/>
          <w:sz w:val="32"/>
          <w:szCs w:val="32"/>
          <w:highlight w:val="none"/>
          <w:lang w:val="en-US" w:eastAsia="zh-CN" w:bidi="ar-SA"/>
        </w:rPr>
        <w:t>药物须是国家有关主管部门批准生产（具有三证）或已登记进口的卫生杀虫剂的合格产品。药物包装应符合化工产品通用标准。严禁把农用杀虫剂用于卫生害虫的防治。</w:t>
      </w:r>
    </w:p>
    <w:p w14:paraId="45AF83D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③</w:t>
      </w:r>
      <w:r>
        <w:rPr>
          <w:rFonts w:hint="eastAsia" w:ascii="仿宋_GB2312" w:hAnsi="仿宋_GB2312" w:eastAsia="仿宋_GB2312" w:cs="仿宋_GB2312"/>
          <w:b w:val="0"/>
          <w:bCs w:val="0"/>
          <w:kern w:val="0"/>
          <w:sz w:val="32"/>
          <w:szCs w:val="32"/>
          <w:highlight w:val="none"/>
          <w:lang w:val="en-US" w:eastAsia="zh-CN" w:bidi="ar-SA"/>
        </w:rPr>
        <w:t>不同类型药物的混合配伍用药,应注意互补增效作用,并进展相应的测试，防止两用药配伍产生拮抗作用，影响防制效果。</w:t>
      </w:r>
    </w:p>
    <w:p w14:paraId="7C636F7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④</w:t>
      </w:r>
      <w:r>
        <w:rPr>
          <w:rFonts w:hint="eastAsia" w:ascii="仿宋_GB2312" w:hAnsi="仿宋_GB2312" w:eastAsia="仿宋_GB2312" w:cs="仿宋_GB2312"/>
          <w:b w:val="0"/>
          <w:bCs w:val="0"/>
          <w:kern w:val="0"/>
          <w:sz w:val="32"/>
          <w:szCs w:val="32"/>
          <w:highlight w:val="none"/>
          <w:lang w:val="en-US" w:eastAsia="zh-CN" w:bidi="ar-SA"/>
        </w:rPr>
        <w:t>药物在不同环境用于不同的防制对象，应采用相配套的喷洒器械，滞留喷洒应采用手动或背负式、手推式机动喷雾器，室内空间喷杀应采用超低容量电动喷雾机，特殊环境(下水道、电缆沟、垃圾场)喷杀应采用热烟雾发生机或机动喷雾器。</w:t>
      </w:r>
    </w:p>
    <w:p w14:paraId="1909EB5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⑤</w:t>
      </w:r>
      <w:r>
        <w:rPr>
          <w:rFonts w:hint="eastAsia" w:ascii="仿宋_GB2312" w:hAnsi="仿宋_GB2312" w:eastAsia="仿宋_GB2312" w:cs="仿宋_GB2312"/>
          <w:b w:val="0"/>
          <w:bCs w:val="0"/>
          <w:kern w:val="0"/>
          <w:sz w:val="32"/>
          <w:szCs w:val="32"/>
          <w:highlight w:val="none"/>
          <w:lang w:val="en-US" w:eastAsia="zh-CN" w:bidi="ar-SA"/>
        </w:rPr>
        <w:t>用于卫生害虫防制的药物,其性能应符合化学性质稳定，且残效期较长;高效低毒、平安、对人言及环境无害;具有显著的击倒和致死作用等要求。</w:t>
      </w:r>
    </w:p>
    <w:p w14:paraId="5C7C608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⑥</w:t>
      </w:r>
      <w:r>
        <w:rPr>
          <w:rFonts w:hint="eastAsia" w:ascii="仿宋_GB2312" w:hAnsi="仿宋_GB2312" w:eastAsia="仿宋_GB2312" w:cs="仿宋_GB2312"/>
          <w:b w:val="0"/>
          <w:bCs w:val="0"/>
          <w:kern w:val="0"/>
          <w:sz w:val="32"/>
          <w:szCs w:val="32"/>
          <w:highlight w:val="none"/>
          <w:lang w:val="en-US" w:eastAsia="zh-CN" w:bidi="ar-SA"/>
        </w:rPr>
        <w:t>乙方确保使用的药物为合法合规的国家许可的卫生杀虫剂。</w:t>
      </w:r>
    </w:p>
    <w:p w14:paraId="3C23AA2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⑦</w:t>
      </w:r>
      <w:r>
        <w:rPr>
          <w:rFonts w:hint="eastAsia" w:ascii="仿宋_GB2312" w:hAnsi="仿宋_GB2312" w:eastAsia="仿宋_GB2312" w:cs="仿宋_GB2312"/>
          <w:b w:val="0"/>
          <w:bCs w:val="0"/>
          <w:kern w:val="0"/>
          <w:sz w:val="32"/>
          <w:szCs w:val="32"/>
          <w:highlight w:val="none"/>
          <w:lang w:val="en-US" w:eastAsia="zh-CN" w:bidi="ar-SA"/>
        </w:rPr>
        <w:t>乙方确保使用的药物不对医院的环境、人员等造成负面影响。</w:t>
      </w:r>
    </w:p>
    <w:p w14:paraId="760EE9B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⑧</w:t>
      </w:r>
      <w:r>
        <w:rPr>
          <w:rFonts w:hint="eastAsia" w:ascii="仿宋_GB2312" w:hAnsi="仿宋_GB2312" w:eastAsia="仿宋_GB2312" w:cs="仿宋_GB2312"/>
          <w:b w:val="0"/>
          <w:bCs w:val="0"/>
          <w:kern w:val="0"/>
          <w:sz w:val="32"/>
          <w:szCs w:val="32"/>
          <w:highlight w:val="none"/>
          <w:lang w:val="en-US" w:eastAsia="zh-CN" w:bidi="ar-SA"/>
        </w:rPr>
        <w:t>因乙方使用的药剂而发生环境污染、伤害人体，及给医院或第三方造成的所有经济损失，均由乙方承担。</w:t>
      </w:r>
    </w:p>
    <w:p w14:paraId="7E86C5D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微软雅黑" w:hAnsi="微软雅黑" w:eastAsia="微软雅黑" w:cs="微软雅黑"/>
          <w:b w:val="0"/>
          <w:bCs w:val="0"/>
          <w:kern w:val="0"/>
          <w:sz w:val="32"/>
          <w:szCs w:val="32"/>
          <w:highlight w:val="none"/>
          <w:lang w:val="en-US" w:eastAsia="zh-CN" w:bidi="ar-SA"/>
        </w:rPr>
        <w:t>⑨</w:t>
      </w:r>
      <w:r>
        <w:rPr>
          <w:rFonts w:hint="eastAsia" w:ascii="仿宋_GB2312" w:hAnsi="仿宋_GB2312" w:eastAsia="仿宋_GB2312" w:cs="仿宋_GB2312"/>
          <w:b w:val="0"/>
          <w:bCs w:val="0"/>
          <w:kern w:val="0"/>
          <w:sz w:val="32"/>
          <w:szCs w:val="32"/>
          <w:highlight w:val="none"/>
          <w:lang w:val="en-US" w:eastAsia="zh-CN" w:bidi="ar-SA"/>
        </w:rPr>
        <w:t>乙方及其服务人员在药械安全管控方面，必须符合如下国家标准，包括并不限于：</w:t>
      </w:r>
    </w:p>
    <w:p w14:paraId="728D9F3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23795-2009    蜚蠊监测方法</w:t>
      </w:r>
    </w:p>
    <w:p w14:paraId="0D65C9E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23796-2009    蝇类监测方法</w:t>
      </w:r>
    </w:p>
    <w:p w14:paraId="2336365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23797-2009    蚊虫监测方法</w:t>
      </w:r>
    </w:p>
    <w:p w14:paraId="168A528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23798-2009    鼠类监测方法</w:t>
      </w:r>
    </w:p>
    <w:p w14:paraId="70EA54F3">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27770-2011   鼠类密度控制水平</w:t>
      </w:r>
    </w:p>
    <w:p w14:paraId="0064665E">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27771-2011   蚊虫密度控制水平</w:t>
      </w:r>
    </w:p>
    <w:p w14:paraId="024463D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27772-2011   蝇类密度控制水平</w:t>
      </w:r>
    </w:p>
    <w:p w14:paraId="044B8DA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27773-2011   蜚蠊密度控制水平</w:t>
      </w:r>
    </w:p>
    <w:p w14:paraId="2862EEC4">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27777-2011   杀鼠剂安全使用准则         抗凝血剂</w:t>
      </w:r>
    </w:p>
    <w:p w14:paraId="3B8D9962">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27779-2011   卫生杀虫剂安全使用准则     拟除虫菊酯</w:t>
      </w:r>
    </w:p>
    <w:p w14:paraId="7569E65D">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31712-2015   病媒生物综合管理技术规范   环境治理  鼠类</w:t>
      </w:r>
    </w:p>
    <w:p w14:paraId="31CBA71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31719-2015   病媒生物综合管理技术规范   化学防治  蜚蠊</w:t>
      </w:r>
    </w:p>
    <w:p w14:paraId="4DDC71CF">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31718-2015   病媒生物综合管理技术规范   化学防治  蝇类</w:t>
      </w:r>
    </w:p>
    <w:p w14:paraId="3346485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31715-2005   病媒生物化学防治技术指南   空间喷雾</w:t>
      </w:r>
    </w:p>
    <w:p w14:paraId="1E8F460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480" w:firstLineChars="200"/>
        <w:textAlignment w:val="auto"/>
        <w:rPr>
          <w:rFonts w:hint="eastAsia" w:ascii="仿宋_GB2312" w:hAnsi="仿宋_GB2312" w:eastAsia="仿宋_GB2312" w:cs="仿宋_GB2312"/>
          <w:b w:val="0"/>
          <w:bCs w:val="0"/>
          <w:kern w:val="0"/>
          <w:sz w:val="24"/>
          <w:szCs w:val="24"/>
          <w:highlight w:val="none"/>
          <w:lang w:val="en-US" w:eastAsia="zh-CN" w:bidi="ar-SA"/>
        </w:rPr>
      </w:pPr>
      <w:r>
        <w:rPr>
          <w:rFonts w:hint="eastAsia" w:ascii="仿宋_GB2312" w:hAnsi="仿宋_GB2312" w:eastAsia="仿宋_GB2312" w:cs="仿宋_GB2312"/>
          <w:b w:val="0"/>
          <w:bCs w:val="0"/>
          <w:kern w:val="0"/>
          <w:sz w:val="24"/>
          <w:szCs w:val="24"/>
          <w:highlight w:val="none"/>
          <w:lang w:val="en-US" w:eastAsia="zh-CN" w:bidi="ar-SA"/>
        </w:rPr>
        <w:t>GB/T   31715-2005   病媒生物化学防治技术指南   滞留喷洒</w:t>
      </w:r>
    </w:p>
    <w:p w14:paraId="1983958B">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（五）作业要求</w:t>
      </w:r>
    </w:p>
    <w:p w14:paraId="371F368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1.实施杀灭作业前,须先到现场调查摸清委托方卫生四害的本底情况，应对卫生害虫种类、栖息部位、密度状况及孳生环境等情况有全面的了解，因地制宜订合理的害虫综合控制消杀方案。</w:t>
      </w:r>
    </w:p>
    <w:p w14:paraId="75FFE681">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2.根据控制消杀方案备好药品器械和个人防护用品。</w:t>
      </w:r>
    </w:p>
    <w:p w14:paraId="122AA24A">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3.实施防制作业，应遵守平安操作规定，合理用药，施药到位,保证防制效果，并防止药品污染环境。</w:t>
      </w:r>
    </w:p>
    <w:p w14:paraId="5626279C">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4.从事“四害”做到统一着装、整齐且符合防护要求，杜绝着装不齐，不讲文明礼貌等行为发生。</w:t>
      </w:r>
    </w:p>
    <w:p w14:paraId="05D4A88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5.根据卫生害虫种类和有关规定，定期进展虫害密度监测或防制效果监测，资料及时统计分析上报并归档保存。</w:t>
      </w:r>
    </w:p>
    <w:p w14:paraId="363C7816">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default" w:ascii="黑体" w:hAnsi="黑体" w:eastAsia="黑体" w:cs="黑体"/>
          <w:b w:val="0"/>
          <w:bCs w:val="0"/>
          <w:kern w:val="0"/>
          <w:sz w:val="32"/>
          <w:szCs w:val="32"/>
          <w:highlight w:val="none"/>
          <w:lang w:val="en-US" w:eastAsia="zh-CN" w:bidi="ar-SA"/>
        </w:rPr>
      </w:pPr>
      <w:r>
        <w:rPr>
          <w:rFonts w:hint="eastAsia" w:ascii="黑体" w:hAnsi="黑体" w:eastAsia="黑体" w:cs="黑体"/>
          <w:b w:val="0"/>
          <w:bCs w:val="0"/>
          <w:kern w:val="0"/>
          <w:sz w:val="32"/>
          <w:szCs w:val="32"/>
          <w:highlight w:val="none"/>
          <w:lang w:val="en-US" w:eastAsia="zh-CN" w:bidi="ar-SA"/>
        </w:rPr>
        <w:t>（六）商务要求</w:t>
      </w:r>
    </w:p>
    <w:p w14:paraId="0E6C2570">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1.要求：合同签订后15天。本项目除采购方原因及人力不可抗拒因素外（如地震、战争等），不得延误，每延后一天，扣供应商人民币100元的罚款，如果承包人无故拖延供货期超过完工日期10日，采购人有权无条件解除合同，并要求承包人赔偿一切损失。</w:t>
      </w:r>
    </w:p>
    <w:p w14:paraId="478020C8">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2.本次项目进行过程中所有的安全责任由供应商自行承担。（提供承诺函，格式自拟）</w:t>
      </w:r>
    </w:p>
    <w:p w14:paraId="054EB6D5">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3.付款方式</w:t>
      </w:r>
    </w:p>
    <w:p w14:paraId="6E2FED19">
      <w:pPr>
        <w:pStyle w:val="3"/>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成交供应商在消杀完成并验收合格后，按季度付清该季度消杀费用。</w:t>
      </w:r>
    </w:p>
    <w:p w14:paraId="14FF242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三、供应商应具备的条件及需要递交的资料</w:t>
      </w:r>
    </w:p>
    <w:p w14:paraId="5B86BD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（一）供应商应具备的条件</w:t>
      </w:r>
    </w:p>
    <w:p w14:paraId="39AC36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1.具有独立承担民事责任的能力；</w:t>
      </w:r>
    </w:p>
    <w:p w14:paraId="263EC8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2.具有良好的商业信誉和健全的财务会计制度；</w:t>
      </w:r>
    </w:p>
    <w:p w14:paraId="55AD6B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3.具有履行合同所必需的设备和专业技术能力；</w:t>
      </w:r>
    </w:p>
    <w:p w14:paraId="46E4BF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4.有依法缴纳税收和社会保障资金的良好记录；</w:t>
      </w:r>
    </w:p>
    <w:p w14:paraId="3D415F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5.参加本次需求调查活动前三年内，在经营活动中没有重大违法记录；</w:t>
      </w:r>
    </w:p>
    <w:p w14:paraId="6E037F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遵守国家法律法规，具有良好的信誉和诚实的商业道德，供应商在参加需求调查活动前的信用记录未列入失信被执行人名单、重大税收违法案件当事人名单、政府采购严重违法失信等行为，保存信用记录结果网页截图做为响应采购调研文件的部分；</w:t>
      </w:r>
    </w:p>
    <w:p w14:paraId="475C72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default" w:ascii="仿宋_GB2312" w:hAnsi="仿宋_GB2312" w:eastAsia="仿宋_GB2312" w:cs="仿宋_GB2312"/>
          <w:kern w:val="0"/>
          <w:sz w:val="32"/>
          <w:szCs w:val="32"/>
          <w:highlight w:val="none"/>
          <w:lang w:val="en-US" w:eastAsia="zh-CN" w:bidi="ar-SA"/>
        </w:rPr>
      </w:pPr>
      <w:r>
        <w:rPr>
          <w:rFonts w:hint="default" w:ascii="仿宋_GB2312" w:hAnsi="仿宋_GB2312" w:eastAsia="仿宋_GB2312" w:cs="仿宋_GB2312"/>
          <w:kern w:val="0"/>
          <w:sz w:val="32"/>
          <w:szCs w:val="32"/>
          <w:highlight w:val="none"/>
          <w:lang w:val="en-US" w:eastAsia="zh-CN" w:bidi="ar-SA"/>
        </w:rPr>
        <w:t>7.所供的产品及服务符合国家相关法律法规及行业标准。</w:t>
      </w:r>
    </w:p>
    <w:p w14:paraId="78D7E4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楷体_GB2312" w:hAnsi="楷体_GB2312" w:eastAsia="楷体_GB2312" w:cs="楷体_GB2312"/>
          <w:kern w:val="0"/>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bidi="ar-SA"/>
        </w:rPr>
        <w:t>（二）供应商需递交的资料</w:t>
      </w:r>
    </w:p>
    <w:p w14:paraId="490488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1.承诺函、报名函、授权书、报价单（见附件）；</w:t>
      </w:r>
    </w:p>
    <w:p w14:paraId="2D3E5D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56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2.资质证明文件：营业执照、检验检测机构资质认定证书及附表等必要证件；</w:t>
      </w:r>
    </w:p>
    <w:p w14:paraId="7D6F84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3.提交的所有复印资料须合法、真实、有效、清晰，并加盖鲜章。</w:t>
      </w:r>
    </w:p>
    <w:p w14:paraId="625F6D8D">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eastAsia"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四、递交市场调研资料方式（邮寄或现场递交）</w:t>
      </w:r>
    </w:p>
    <w:p w14:paraId="6CFBAF7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w:t>
      </w:r>
      <w:r>
        <w:rPr>
          <w:rFonts w:hint="eastAsia" w:ascii="仿宋_GB2312" w:hAnsi="仿宋_GB2312" w:eastAsia="仿宋_GB2312" w:cs="仿宋_GB2312"/>
          <w:color w:val="FF0000"/>
          <w:kern w:val="0"/>
          <w:sz w:val="32"/>
          <w:szCs w:val="32"/>
          <w:highlight w:val="none"/>
          <w:lang w:val="en-US" w:eastAsia="zh-CN" w:bidi="ar-SA"/>
        </w:rPr>
        <w:t>2025年11月5日08:30</w:t>
      </w:r>
      <w:r>
        <w:rPr>
          <w:rFonts w:hint="eastAsia" w:ascii="仿宋_GB2312" w:hAnsi="仿宋_GB2312" w:eastAsia="仿宋_GB2312" w:cs="仿宋_GB2312"/>
          <w:kern w:val="0"/>
          <w:sz w:val="32"/>
          <w:szCs w:val="32"/>
          <w:highlight w:val="none"/>
          <w:lang w:val="en-US" w:eastAsia="zh-CN" w:bidi="ar-SA"/>
        </w:rPr>
        <w:t>，逾期将不再受理。</w:t>
      </w:r>
    </w:p>
    <w:p w14:paraId="2FC3B84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（二）报名地点：富顺县医共体总医院药械采购中心办公室。</w:t>
      </w:r>
    </w:p>
    <w:p w14:paraId="7C97E8DA">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3" w:firstLineChars="200"/>
        <w:jc w:val="both"/>
        <w:textAlignment w:val="auto"/>
        <w:outlineLvl w:val="9"/>
        <w:rPr>
          <w:rFonts w:hint="default" w:ascii="黑体" w:hAnsi="黑体" w:eastAsia="黑体" w:cs="黑体"/>
          <w:b/>
          <w:bCs/>
          <w:i w:val="0"/>
          <w:iCs w:val="0"/>
          <w:caps w:val="0"/>
          <w:color w:val="auto"/>
          <w:spacing w:val="0"/>
          <w:sz w:val="32"/>
          <w:szCs w:val="32"/>
          <w:u w:val="none"/>
          <w:lang w:val="en-US" w:eastAsia="zh-CN"/>
        </w:rPr>
      </w:pPr>
      <w:r>
        <w:rPr>
          <w:rFonts w:hint="eastAsia" w:ascii="黑体" w:hAnsi="黑体" w:eastAsia="黑体" w:cs="黑体"/>
          <w:b/>
          <w:bCs/>
          <w:i w:val="0"/>
          <w:iCs w:val="0"/>
          <w:caps w:val="0"/>
          <w:color w:val="auto"/>
          <w:spacing w:val="0"/>
          <w:sz w:val="32"/>
          <w:szCs w:val="32"/>
          <w:u w:val="none"/>
          <w:lang w:val="en-US" w:eastAsia="zh-CN"/>
        </w:rPr>
        <w:t>五、联系方式及地址</w:t>
      </w:r>
    </w:p>
    <w:p w14:paraId="59CC98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jc w:val="both"/>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 系 人：张老师   18187087618</w:t>
      </w:r>
    </w:p>
    <w:p w14:paraId="6CC287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66135A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如有疑问，请及时联系。</w:t>
      </w:r>
    </w:p>
    <w:p w14:paraId="6D252D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p>
    <w:p w14:paraId="2EE0EA88">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54C18066">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068E2BAC">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rightChars="0" w:firstLine="640" w:firstLineChars="200"/>
        <w:jc w:val="right"/>
        <w:textAlignment w:val="auto"/>
        <w:outlineLvl w:val="9"/>
        <w:rPr>
          <w:rFonts w:hint="eastAsia" w:ascii="仿宋" w:hAnsi="仿宋" w:eastAsia="仿宋" w:cs="仿宋"/>
          <w:i w:val="0"/>
          <w:iCs w:val="0"/>
          <w:caps w:val="0"/>
          <w:color w:val="auto"/>
          <w:spacing w:val="0"/>
          <w:sz w:val="32"/>
          <w:szCs w:val="32"/>
          <w:u w:val="none"/>
        </w:rPr>
      </w:pPr>
    </w:p>
    <w:p w14:paraId="2E70FB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righ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p>
    <w:p w14:paraId="00AADA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rightChars="0"/>
        <w:jc w:val="center"/>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 xml:space="preserve">                                2025年10月30</w:t>
      </w:r>
      <w:bookmarkStart w:id="0" w:name="_GoBack"/>
      <w:bookmarkEnd w:id="0"/>
      <w:r>
        <w:rPr>
          <w:rFonts w:hint="eastAsia" w:ascii="仿宋_GB2312" w:hAnsi="仿宋_GB2312" w:eastAsia="仿宋_GB2312" w:cs="仿宋_GB2312"/>
          <w:kern w:val="0"/>
          <w:sz w:val="32"/>
          <w:szCs w:val="32"/>
          <w:highlight w:val="none"/>
          <w:lang w:val="en-US" w:eastAsia="zh-CN" w:bidi="ar-SA"/>
        </w:rPr>
        <w:t xml:space="preserve"> 日</w:t>
      </w:r>
    </w:p>
    <w:p w14:paraId="5FF24D8A">
      <w:pPr>
        <w:pStyle w:val="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auto"/>
          <w:spacing w:val="0"/>
          <w:sz w:val="32"/>
          <w:szCs w:val="32"/>
          <w:u w:val="none"/>
        </w:rPr>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FE45F8-8E00-472F-9CF0-FEF3055282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F5B6AE1-1DEF-42B6-8B93-5D5ABCFC048C}"/>
  </w:font>
  <w:font w:name="方正小标宋简体">
    <w:panose1 w:val="02000000000000000000"/>
    <w:charset w:val="86"/>
    <w:family w:val="auto"/>
    <w:pitch w:val="default"/>
    <w:sig w:usb0="00000001" w:usb1="08000000" w:usb2="00000000" w:usb3="00000000" w:csb0="00040000" w:csb1="00000000"/>
    <w:embedRegular r:id="rId3" w:fontKey="{32D29319-5C6D-48FD-9465-36225EB99EF4}"/>
  </w:font>
  <w:font w:name="仿宋_GB2312">
    <w:altName w:val="仿宋"/>
    <w:panose1 w:val="02010609030101010101"/>
    <w:charset w:val="86"/>
    <w:family w:val="auto"/>
    <w:pitch w:val="default"/>
    <w:sig w:usb0="00000000" w:usb1="00000000" w:usb2="00000000" w:usb3="00000000" w:csb0="00040000" w:csb1="00000000"/>
    <w:embedRegular r:id="rId4" w:fontKey="{8A70805E-99A5-4868-872B-763670AD24E4}"/>
  </w:font>
  <w:font w:name="仿宋">
    <w:panose1 w:val="02010609060101010101"/>
    <w:charset w:val="86"/>
    <w:family w:val="auto"/>
    <w:pitch w:val="default"/>
    <w:sig w:usb0="800002BF" w:usb1="38CF7CFA" w:usb2="00000016" w:usb3="00000000" w:csb0="00040001" w:csb1="00000000"/>
    <w:embedRegular r:id="rId5" w:fontKey="{ADC2A810-0167-4E2E-9C2E-B45DD81BACB6}"/>
  </w:font>
  <w:font w:name="楷体_GB2312">
    <w:altName w:val="楷体"/>
    <w:panose1 w:val="02010609030101010101"/>
    <w:charset w:val="86"/>
    <w:family w:val="auto"/>
    <w:pitch w:val="default"/>
    <w:sig w:usb0="00000000" w:usb1="00000000" w:usb2="00000000" w:usb3="00000000" w:csb0="00040000" w:csb1="00000000"/>
    <w:embedRegular r:id="rId6" w:fontKey="{279C94D7-DE09-4F5A-9611-67986526371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7" w:fontKey="{F7CAAD1C-D67B-43AD-BCB8-1B16DC5313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00172A27"/>
    <w:rsid w:val="005F037B"/>
    <w:rsid w:val="015F2C24"/>
    <w:rsid w:val="01DD3C4D"/>
    <w:rsid w:val="04897679"/>
    <w:rsid w:val="055C757F"/>
    <w:rsid w:val="064424ED"/>
    <w:rsid w:val="07AA637F"/>
    <w:rsid w:val="081A04CF"/>
    <w:rsid w:val="0998157E"/>
    <w:rsid w:val="09F67411"/>
    <w:rsid w:val="0A3444AB"/>
    <w:rsid w:val="0A385572"/>
    <w:rsid w:val="0A6822EE"/>
    <w:rsid w:val="0BBF3913"/>
    <w:rsid w:val="0BF54696"/>
    <w:rsid w:val="0D6B65B1"/>
    <w:rsid w:val="0E5E1C72"/>
    <w:rsid w:val="0E722510"/>
    <w:rsid w:val="0EE52004"/>
    <w:rsid w:val="10835D48"/>
    <w:rsid w:val="10D317D7"/>
    <w:rsid w:val="11D64215"/>
    <w:rsid w:val="150317C5"/>
    <w:rsid w:val="15097310"/>
    <w:rsid w:val="15AA7A35"/>
    <w:rsid w:val="17FA373E"/>
    <w:rsid w:val="18FD1024"/>
    <w:rsid w:val="193F3921"/>
    <w:rsid w:val="1952076B"/>
    <w:rsid w:val="1A141EEF"/>
    <w:rsid w:val="1A5B71E7"/>
    <w:rsid w:val="1ACC29CE"/>
    <w:rsid w:val="1B966EEF"/>
    <w:rsid w:val="1BAF1D5E"/>
    <w:rsid w:val="1CA820BE"/>
    <w:rsid w:val="1E0B5246"/>
    <w:rsid w:val="1F2E5690"/>
    <w:rsid w:val="1FD1636E"/>
    <w:rsid w:val="20F14BC7"/>
    <w:rsid w:val="220A5F40"/>
    <w:rsid w:val="22A21664"/>
    <w:rsid w:val="230C6566"/>
    <w:rsid w:val="23FD3952"/>
    <w:rsid w:val="244B077F"/>
    <w:rsid w:val="24CD1BD9"/>
    <w:rsid w:val="25CD1139"/>
    <w:rsid w:val="26BE554B"/>
    <w:rsid w:val="26C12FA3"/>
    <w:rsid w:val="27167136"/>
    <w:rsid w:val="28137B19"/>
    <w:rsid w:val="290175D3"/>
    <w:rsid w:val="29B32E70"/>
    <w:rsid w:val="2AD0284B"/>
    <w:rsid w:val="2BEA7BB6"/>
    <w:rsid w:val="2C2422F5"/>
    <w:rsid w:val="2C951F38"/>
    <w:rsid w:val="2D9D72E3"/>
    <w:rsid w:val="2DBF48E6"/>
    <w:rsid w:val="2DC90030"/>
    <w:rsid w:val="2E92439F"/>
    <w:rsid w:val="2EB26A68"/>
    <w:rsid w:val="2FCF0EAB"/>
    <w:rsid w:val="30526D09"/>
    <w:rsid w:val="332C08AF"/>
    <w:rsid w:val="339E0DDD"/>
    <w:rsid w:val="33A37FA3"/>
    <w:rsid w:val="34004232"/>
    <w:rsid w:val="363E2205"/>
    <w:rsid w:val="36B96571"/>
    <w:rsid w:val="36F80606"/>
    <w:rsid w:val="37093294"/>
    <w:rsid w:val="38211DDE"/>
    <w:rsid w:val="3A851821"/>
    <w:rsid w:val="3B984165"/>
    <w:rsid w:val="3C9653C8"/>
    <w:rsid w:val="3CB925E5"/>
    <w:rsid w:val="3D000381"/>
    <w:rsid w:val="3DA9000B"/>
    <w:rsid w:val="3DF45037"/>
    <w:rsid w:val="3E151A9D"/>
    <w:rsid w:val="3E7B104E"/>
    <w:rsid w:val="3EA82911"/>
    <w:rsid w:val="3F88629F"/>
    <w:rsid w:val="3FD76C77"/>
    <w:rsid w:val="44073946"/>
    <w:rsid w:val="45250832"/>
    <w:rsid w:val="4535729C"/>
    <w:rsid w:val="46217E34"/>
    <w:rsid w:val="476E1F79"/>
    <w:rsid w:val="4A1947E6"/>
    <w:rsid w:val="4AC218A1"/>
    <w:rsid w:val="4B1A6945"/>
    <w:rsid w:val="4C6267F5"/>
    <w:rsid w:val="4CC4707B"/>
    <w:rsid w:val="4E351260"/>
    <w:rsid w:val="4E7E71EB"/>
    <w:rsid w:val="4EF31987"/>
    <w:rsid w:val="50543FB0"/>
    <w:rsid w:val="51624BA2"/>
    <w:rsid w:val="521C7446"/>
    <w:rsid w:val="524E3378"/>
    <w:rsid w:val="52E63242"/>
    <w:rsid w:val="54407E57"/>
    <w:rsid w:val="55B300C2"/>
    <w:rsid w:val="55E02EEE"/>
    <w:rsid w:val="5640122A"/>
    <w:rsid w:val="56B75990"/>
    <w:rsid w:val="56EA7B13"/>
    <w:rsid w:val="57191DCB"/>
    <w:rsid w:val="57630795"/>
    <w:rsid w:val="57B277DD"/>
    <w:rsid w:val="57E50AB2"/>
    <w:rsid w:val="587C0C3F"/>
    <w:rsid w:val="59D05B43"/>
    <w:rsid w:val="5CBD29A0"/>
    <w:rsid w:val="5CCC0FA4"/>
    <w:rsid w:val="5D577585"/>
    <w:rsid w:val="5D794C28"/>
    <w:rsid w:val="5DF32D34"/>
    <w:rsid w:val="5E2C27BF"/>
    <w:rsid w:val="5E7E38F0"/>
    <w:rsid w:val="5EC073AC"/>
    <w:rsid w:val="5FBB029F"/>
    <w:rsid w:val="60F33F59"/>
    <w:rsid w:val="619533B6"/>
    <w:rsid w:val="625A59BE"/>
    <w:rsid w:val="62E73159"/>
    <w:rsid w:val="65D57BE0"/>
    <w:rsid w:val="67CC0B6F"/>
    <w:rsid w:val="69CF4947"/>
    <w:rsid w:val="69ED72BB"/>
    <w:rsid w:val="6A4F3582"/>
    <w:rsid w:val="6A9B19C7"/>
    <w:rsid w:val="6ACE7C5F"/>
    <w:rsid w:val="6ACF7E3F"/>
    <w:rsid w:val="6B3929BF"/>
    <w:rsid w:val="6B427AC6"/>
    <w:rsid w:val="6B7C56A3"/>
    <w:rsid w:val="6BAD42F8"/>
    <w:rsid w:val="6D6535F8"/>
    <w:rsid w:val="6D94212F"/>
    <w:rsid w:val="6D981E62"/>
    <w:rsid w:val="6DFF38CC"/>
    <w:rsid w:val="6E032E11"/>
    <w:rsid w:val="6E8216C5"/>
    <w:rsid w:val="707075AB"/>
    <w:rsid w:val="71CF7BDA"/>
    <w:rsid w:val="71D40D4C"/>
    <w:rsid w:val="738F101A"/>
    <w:rsid w:val="74485A21"/>
    <w:rsid w:val="74576909"/>
    <w:rsid w:val="749D7B1B"/>
    <w:rsid w:val="76650B0D"/>
    <w:rsid w:val="7A100D8F"/>
    <w:rsid w:val="7A8451C7"/>
    <w:rsid w:val="7F86368D"/>
    <w:rsid w:val="7FCB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unhideWhenUsed/>
    <w:qFormat/>
    <w:uiPriority w:val="99"/>
    <w:pPr>
      <w:ind w:firstLine="420" w:firstLineChars="1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4481</Words>
  <Characters>4797</Characters>
  <Lines>0</Lines>
  <Paragraphs>0</Paragraphs>
  <TotalTime>20</TotalTime>
  <ScaleCrop>false</ScaleCrop>
  <LinksUpToDate>false</LinksUpToDate>
  <CharactersWithSpaces>4958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2023-05-18T07:31:00Z</dcterms:created>
  <dc:creator>Administrator</dc:creator>
  <cp:lastModifiedBy>纳米•ั็ω•็ั☞老人家</cp:lastModifiedBy>
  <cp:lastPrinted>2024-01-22T08:29:00Z</cp:lastPrinted>
  <dcterms:modified xsi:type="dcterms:W3CDTF">2025-10-29T07:24:27Z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A9142C7325944A69ADA15DC5266D1C92_11</vt:lpwstr>
  </property>
  <property fmtid="{D5CDD505-2E9C-101B-9397-08002B2CF9AE}" pid="4" name="KSOTemplateDocerSaveRecord">
    <vt:lpwstr>eyJoZGlkIjoiMjQ1ZTMwMzU1NjYzMDlmMGJiZGJmNDZlMzcxMzc4OWEiLCJ1c2VySWQiOiIyMDk2OTE1NjcifQ==</vt:lpwstr>
  </property>
</Properties>
</file>