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2DD05">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308E2367">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5B719C4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zh-CN" w:eastAsia="zh-CN"/>
        </w:rPr>
        <w:t>招标编号：</w:t>
      </w:r>
      <w:r>
        <w:rPr>
          <w:rFonts w:hint="eastAsia" w:ascii="仿宋" w:hAnsi="仿宋" w:eastAsia="仿宋" w:cs="仿宋"/>
          <w:b/>
          <w:bCs/>
          <w:color w:val="auto"/>
          <w:sz w:val="44"/>
          <w:szCs w:val="44"/>
          <w:highlight w:val="none"/>
          <w:lang w:val="en-US" w:eastAsia="zh-CN"/>
        </w:rPr>
        <w:t xml:space="preserve">SCHC202504245 </w:t>
      </w:r>
    </w:p>
    <w:p w14:paraId="56D55A0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bCs/>
          <w:color w:val="auto"/>
          <w:sz w:val="44"/>
          <w:szCs w:val="44"/>
          <w:highlight w:val="none"/>
          <w:lang w:val="en-US" w:eastAsia="zh-CN"/>
        </w:rPr>
      </w:pPr>
    </w:p>
    <w:p w14:paraId="0C1507FA">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富顺县中医医院2025年第五批医疗耗材</w:t>
      </w:r>
    </w:p>
    <w:p w14:paraId="4487559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采购项目（第二次）</w:t>
      </w:r>
    </w:p>
    <w:p w14:paraId="6AA5700C">
      <w:pPr>
        <w:pStyle w:val="61"/>
        <w:pageBreakBefore w:val="0"/>
        <w:widowControl w:val="0"/>
        <w:tabs>
          <w:tab w:val="center" w:pos="4819"/>
        </w:tabs>
        <w:kinsoku/>
        <w:wordWrap/>
        <w:overflowPunct/>
        <w:topLinePunct w:val="0"/>
        <w:bidi w:val="0"/>
        <w:snapToGrid/>
        <w:spacing w:line="360" w:lineRule="auto"/>
        <w:rPr>
          <w:rFonts w:hint="eastAsia" w:ascii="仿宋_GB2312" w:hAnsi="宋体" w:eastAsia="仿宋_GB2312"/>
          <w:b/>
          <w:bCs/>
          <w:color w:val="auto"/>
          <w:sz w:val="96"/>
          <w:szCs w:val="96"/>
          <w:highlight w:val="none"/>
          <w:lang w:eastAsia="zh-CN"/>
        </w:rPr>
      </w:pPr>
      <w:r>
        <w:rPr>
          <w:rFonts w:hint="eastAsia" w:ascii="仿宋_GB2312" w:hAnsi="华文中宋"/>
          <w:color w:val="auto"/>
          <w:sz w:val="24"/>
          <w:highlight w:val="none"/>
        </w:rPr>
        <w:t xml:space="preserve"> </w:t>
      </w:r>
      <w:r>
        <w:rPr>
          <w:rFonts w:hint="eastAsia" w:ascii="仿宋_GB2312" w:hAnsi="华文中宋"/>
          <w:color w:val="auto"/>
          <w:sz w:val="24"/>
          <w:highlight w:val="none"/>
          <w:lang w:eastAsia="zh-CN"/>
        </w:rPr>
        <w:tab/>
      </w:r>
    </w:p>
    <w:p w14:paraId="1667BAF2">
      <w:pPr>
        <w:pStyle w:val="61"/>
        <w:pageBreakBefore w:val="0"/>
        <w:widowControl w:val="0"/>
        <w:kinsoku/>
        <w:wordWrap/>
        <w:overflowPunct/>
        <w:topLinePunct w:val="0"/>
        <w:bidi w:val="0"/>
        <w:snapToGrid/>
        <w:spacing w:line="360" w:lineRule="auto"/>
        <w:ind w:left="0" w:leftChars="0" w:firstLine="0" w:firstLineChars="0"/>
        <w:jc w:val="center"/>
        <w:rPr>
          <w:rFonts w:hint="eastAsia" w:ascii="黑体" w:hAnsi="黑体" w:eastAsia="黑体" w:cs="黑体"/>
          <w:color w:val="auto"/>
          <w:sz w:val="112"/>
          <w:szCs w:val="112"/>
          <w:highlight w:val="none"/>
          <w:lang w:eastAsia="zh-CN"/>
        </w:rPr>
      </w:pPr>
      <w:r>
        <w:rPr>
          <w:rFonts w:hint="eastAsia" w:ascii="黑体" w:hAnsi="黑体" w:eastAsia="黑体" w:cs="黑体"/>
          <w:color w:val="auto"/>
          <w:sz w:val="112"/>
          <w:szCs w:val="112"/>
          <w:highlight w:val="none"/>
          <w:lang w:eastAsia="zh-CN"/>
        </w:rPr>
        <w:t>公开招标文件</w:t>
      </w:r>
    </w:p>
    <w:p w14:paraId="6F0563AC">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2A8E7856">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631E3867">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zh-CN"/>
        </w:rPr>
        <w:t>招标人：</w:t>
      </w:r>
      <w:r>
        <w:rPr>
          <w:rFonts w:hint="eastAsia" w:ascii="仿宋" w:hAnsi="仿宋" w:eastAsia="仿宋" w:cs="仿宋"/>
          <w:b/>
          <w:color w:val="auto"/>
          <w:sz w:val="32"/>
          <w:szCs w:val="32"/>
          <w:highlight w:val="none"/>
          <w:lang w:val="zh-CN" w:eastAsia="zh-CN"/>
        </w:rPr>
        <w:t>富顺县中医医院</w:t>
      </w:r>
    </w:p>
    <w:p w14:paraId="27390BAD">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zh-CN"/>
        </w:rPr>
      </w:pPr>
      <w:r>
        <w:rPr>
          <w:rFonts w:hint="eastAsia" w:ascii="仿宋" w:hAnsi="仿宋" w:eastAsia="仿宋" w:cs="仿宋"/>
          <w:b/>
          <w:color w:val="auto"/>
          <w:sz w:val="32"/>
          <w:szCs w:val="32"/>
          <w:highlight w:val="none"/>
          <w:lang w:val="zh-CN"/>
        </w:rPr>
        <w:t>招标代理机构：四川虹采招标代理有限责任公司</w:t>
      </w:r>
    </w:p>
    <w:p w14:paraId="36DE2012">
      <w:pPr>
        <w:pStyle w:val="61"/>
        <w:pageBreakBefore w:val="0"/>
        <w:widowControl w:val="0"/>
        <w:kinsoku/>
        <w:wordWrap/>
        <w:overflowPunct/>
        <w:topLinePunct w:val="0"/>
        <w:bidi w:val="0"/>
        <w:snapToGrid/>
        <w:spacing w:line="360" w:lineRule="auto"/>
        <w:ind w:firstLine="964" w:firstLineChars="300"/>
        <w:rPr>
          <w:rFonts w:hint="eastAsia" w:ascii="仿宋" w:hAnsi="仿宋" w:eastAsia="仿宋" w:cs="仿宋"/>
          <w:b/>
          <w:color w:val="auto"/>
          <w:sz w:val="32"/>
          <w:szCs w:val="32"/>
          <w:highlight w:val="none"/>
          <w:lang w:val="zh-CN" w:eastAsia="zh-CN"/>
        </w:rPr>
      </w:pPr>
      <w:r>
        <w:rPr>
          <w:rFonts w:hint="eastAsia" w:ascii="仿宋" w:hAnsi="仿宋" w:eastAsia="仿宋" w:cs="仿宋"/>
          <w:b/>
          <w:color w:val="auto"/>
          <w:sz w:val="32"/>
          <w:szCs w:val="32"/>
          <w:highlight w:val="none"/>
          <w:lang w:val="zh-CN" w:eastAsia="zh-CN"/>
        </w:rPr>
        <w:t>文件编制：招标人与招标代理机构共同编制</w:t>
      </w:r>
    </w:p>
    <w:p w14:paraId="1C128009">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7AB02624">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123EBF45">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eastAsia="宋体"/>
          <w:b w:val="0"/>
          <w:bCs w:val="0"/>
          <w:color w:val="auto"/>
          <w:sz w:val="36"/>
          <w:highlight w:val="none"/>
        </w:rPr>
      </w:pPr>
      <w:r>
        <w:rPr>
          <w:rFonts w:hint="eastAsia" w:ascii="仿宋" w:hAnsi="仿宋" w:eastAsia="仿宋" w:cs="仿宋"/>
          <w:b/>
          <w:color w:val="auto"/>
          <w:sz w:val="32"/>
          <w:szCs w:val="32"/>
          <w:highlight w:val="none"/>
        </w:rPr>
        <w:t>二〇二</w:t>
      </w:r>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六</w:t>
      </w:r>
      <w:r>
        <w:rPr>
          <w:rFonts w:hint="eastAsia" w:ascii="仿宋" w:hAnsi="仿宋" w:eastAsia="仿宋" w:cs="仿宋"/>
          <w:b/>
          <w:color w:val="auto"/>
          <w:sz w:val="32"/>
          <w:szCs w:val="32"/>
          <w:highlight w:val="none"/>
        </w:rPr>
        <w:t>月</w:t>
      </w:r>
    </w:p>
    <w:p w14:paraId="717F2F40">
      <w:pPr>
        <w:pageBreakBefore w:val="0"/>
        <w:widowControl w:val="0"/>
        <w:tabs>
          <w:tab w:val="left" w:pos="2450"/>
        </w:tabs>
        <w:kinsoku/>
        <w:wordWrap/>
        <w:overflowPunct/>
        <w:topLinePunct w:val="0"/>
        <w:bidi w:val="0"/>
        <w:snapToGrid/>
        <w:outlineLvl w:val="9"/>
        <w:rPr>
          <w:rFonts w:ascii="仿宋" w:hAnsi="仿宋" w:eastAsia="仿宋"/>
          <w:color w:val="auto"/>
          <w:sz w:val="24"/>
        </w:rPr>
        <w:sectPr>
          <w:headerReference r:id="rId5" w:type="default"/>
          <w:pgSz w:w="11907" w:h="16840"/>
          <w:pgMar w:top="1418" w:right="1134" w:bottom="1418" w:left="1134" w:header="851" w:footer="992" w:gutter="0"/>
          <w:pgNumType w:start="1"/>
          <w:cols w:space="720" w:num="1"/>
          <w:titlePg/>
          <w:docGrid w:linePitch="312" w:charSpace="0"/>
        </w:sectPr>
      </w:pPr>
    </w:p>
    <w:sdt>
      <w:sdtPr>
        <w:rPr>
          <w:rFonts w:hint="eastAsia" w:ascii="仿宋" w:hAnsi="仿宋" w:eastAsia="仿宋" w:cs="仿宋"/>
          <w:b/>
          <w:bCs/>
          <w:color w:val="auto"/>
          <w:sz w:val="36"/>
          <w:szCs w:val="36"/>
          <w:highlight w:val="none"/>
          <w:lang w:val="en-US" w:eastAsia="zh-CN"/>
        </w:rPr>
        <w:id w:val="147469162"/>
        <w15:color w:val="DBDBDB"/>
        <w:docPartObj>
          <w:docPartGallery w:val="Table of Contents"/>
          <w:docPartUnique/>
        </w:docPartObj>
      </w:sdtPr>
      <w:sdtEndPr>
        <w:rPr>
          <w:rFonts w:hint="eastAsia" w:ascii="仿宋" w:hAnsi="仿宋" w:eastAsia="仿宋" w:cs="Times New Roman"/>
          <w:b/>
          <w:bCs/>
          <w:color w:val="auto"/>
          <w:kern w:val="2"/>
          <w:sz w:val="18"/>
          <w:szCs w:val="18"/>
          <w:highlight w:val="none"/>
          <w:lang w:val="en-US" w:eastAsia="zh-CN" w:bidi="ar-SA"/>
        </w:rPr>
      </w:sdtEndPr>
      <w:sdtContent>
        <w:p w14:paraId="42AAA077">
          <w:pPr>
            <w:pageBreakBefore w:val="0"/>
            <w:widowControl w:val="0"/>
            <w:kinsoku/>
            <w:wordWrap/>
            <w:overflowPunct/>
            <w:topLinePunct w:val="0"/>
            <w:bidi w:val="0"/>
            <w:snapToGrid/>
            <w:spacing w:before="0" w:beforeLines="0" w:after="0" w:afterLines="0" w:line="360" w:lineRule="auto"/>
            <w:ind w:left="0" w:leftChars="0" w:right="0" w:rightChars="0" w:firstLine="0" w:firstLineChars="0"/>
            <w:jc w:val="center"/>
            <w:rPr>
              <w:rFonts w:hint="eastAsia" w:ascii="仿宋" w:hAnsi="仿宋" w:eastAsia="仿宋" w:cs="仿宋"/>
              <w:b/>
              <w:bCs/>
              <w:color w:val="auto"/>
              <w:sz w:val="36"/>
              <w:szCs w:val="36"/>
              <w:highlight w:val="none"/>
            </w:rPr>
          </w:pPr>
          <w:bookmarkStart w:id="0" w:name="_Toc6066"/>
          <w:bookmarkStart w:id="1" w:name="_Toc24584"/>
          <w:r>
            <w:rPr>
              <w:rFonts w:hint="eastAsia" w:ascii="仿宋" w:hAnsi="仿宋" w:eastAsia="仿宋" w:cs="仿宋"/>
              <w:b/>
              <w:bCs/>
              <w:color w:val="auto"/>
              <w:sz w:val="36"/>
              <w:szCs w:val="36"/>
              <w:highlight w:val="none"/>
            </w:rPr>
            <w:t>目</w:t>
          </w:r>
          <w:r>
            <w:rPr>
              <w:rFonts w:hint="eastAsia" w:ascii="仿宋" w:hAnsi="仿宋" w:eastAsia="仿宋" w:cs="仿宋"/>
              <w:b/>
              <w:bCs/>
              <w:color w:val="auto"/>
              <w:sz w:val="36"/>
              <w:szCs w:val="36"/>
              <w:highlight w:val="none"/>
              <w:lang w:val="en-US" w:eastAsia="zh-CN"/>
            </w:rPr>
            <w:t xml:space="preserve">    </w:t>
          </w:r>
          <w:r>
            <w:rPr>
              <w:rFonts w:hint="eastAsia" w:ascii="仿宋" w:hAnsi="仿宋" w:eastAsia="仿宋" w:cs="仿宋"/>
              <w:b/>
              <w:bCs/>
              <w:color w:val="auto"/>
              <w:sz w:val="36"/>
              <w:szCs w:val="36"/>
              <w:highlight w:val="none"/>
            </w:rPr>
            <w:t>录</w:t>
          </w:r>
        </w:p>
        <w:p w14:paraId="4CB2F3DA">
          <w:pPr>
            <w:pStyle w:val="24"/>
            <w:tabs>
              <w:tab w:val="right" w:leader="dot" w:pos="9639"/>
            </w:tabs>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_Toc28806 </w:instrText>
          </w:r>
          <w:r>
            <w:rPr>
              <w:rFonts w:hint="eastAsia" w:ascii="仿宋" w:hAnsi="仿宋" w:eastAsia="仿宋" w:cs="仿宋"/>
              <w:szCs w:val="24"/>
            </w:rPr>
            <w:fldChar w:fldCharType="separate"/>
          </w:r>
          <w:r>
            <w:rPr>
              <w:rFonts w:hint="eastAsia" w:ascii="仿宋" w:hAnsi="仿宋" w:eastAsia="仿宋"/>
              <w:bCs/>
              <w:szCs w:val="36"/>
            </w:rPr>
            <w:t>第一章  投标邀请</w:t>
          </w:r>
          <w:r>
            <w:tab/>
          </w:r>
          <w:r>
            <w:fldChar w:fldCharType="begin"/>
          </w:r>
          <w:r>
            <w:instrText xml:space="preserve"> PAGEREF _Toc28806 \h </w:instrText>
          </w:r>
          <w:r>
            <w:fldChar w:fldCharType="separate"/>
          </w:r>
          <w:r>
            <w:t>1</w:t>
          </w:r>
          <w:r>
            <w:fldChar w:fldCharType="end"/>
          </w:r>
          <w:r>
            <w:rPr>
              <w:rFonts w:hint="eastAsia" w:ascii="仿宋" w:hAnsi="仿宋" w:eastAsia="仿宋" w:cs="仿宋"/>
              <w:color w:val="auto"/>
              <w:szCs w:val="24"/>
            </w:rPr>
            <w:fldChar w:fldCharType="end"/>
          </w:r>
        </w:p>
        <w:p w14:paraId="61E59BD1">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_Toc20695 </w:instrText>
          </w:r>
          <w:r>
            <w:rPr>
              <w:rFonts w:hint="eastAsia" w:ascii="仿宋" w:hAnsi="仿宋" w:eastAsia="仿宋" w:cs="仿宋"/>
              <w:szCs w:val="24"/>
            </w:rPr>
            <w:fldChar w:fldCharType="separate"/>
          </w:r>
          <w:r>
            <w:rPr>
              <w:rFonts w:hint="eastAsia" w:ascii="仿宋" w:hAnsi="仿宋" w:eastAsia="仿宋" w:cs="Times New Roman"/>
              <w:bCs/>
              <w:szCs w:val="36"/>
            </w:rPr>
            <w:t>第二章  投标人须知</w:t>
          </w:r>
          <w:r>
            <w:tab/>
          </w:r>
          <w:r>
            <w:fldChar w:fldCharType="begin"/>
          </w:r>
          <w:r>
            <w:instrText xml:space="preserve"> PAGEREF _Toc20695 \h </w:instrText>
          </w:r>
          <w:r>
            <w:fldChar w:fldCharType="separate"/>
          </w:r>
          <w:r>
            <w:t>3</w:t>
          </w:r>
          <w:r>
            <w:fldChar w:fldCharType="end"/>
          </w:r>
          <w:r>
            <w:rPr>
              <w:rFonts w:hint="eastAsia" w:ascii="仿宋" w:hAnsi="仿宋" w:eastAsia="仿宋" w:cs="仿宋"/>
              <w:color w:val="auto"/>
              <w:szCs w:val="24"/>
            </w:rPr>
            <w:fldChar w:fldCharType="end"/>
          </w:r>
        </w:p>
        <w:p w14:paraId="25291E7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_Toc20515 </w:instrText>
          </w:r>
          <w:r>
            <w:rPr>
              <w:rFonts w:hint="eastAsia" w:ascii="仿宋" w:hAnsi="仿宋" w:eastAsia="仿宋" w:cs="仿宋"/>
              <w:szCs w:val="24"/>
            </w:rPr>
            <w:fldChar w:fldCharType="separate"/>
          </w:r>
          <w:r>
            <w:rPr>
              <w:rFonts w:hint="eastAsia" w:ascii="仿宋" w:hAnsi="仿宋" w:eastAsia="仿宋" w:cs="仿宋"/>
              <w:bCs/>
              <w:highlight w:val="none"/>
            </w:rPr>
            <w:t>一、投标人须知附表</w:t>
          </w:r>
          <w:r>
            <w:tab/>
          </w:r>
          <w:r>
            <w:fldChar w:fldCharType="begin"/>
          </w:r>
          <w:r>
            <w:instrText xml:space="preserve"> PAGEREF _Toc20515 \h </w:instrText>
          </w:r>
          <w:r>
            <w:fldChar w:fldCharType="separate"/>
          </w:r>
          <w:r>
            <w:t>3</w:t>
          </w:r>
          <w:r>
            <w:fldChar w:fldCharType="end"/>
          </w:r>
          <w:r>
            <w:rPr>
              <w:rFonts w:hint="eastAsia" w:ascii="仿宋" w:hAnsi="仿宋" w:eastAsia="仿宋" w:cs="仿宋"/>
              <w:color w:val="auto"/>
              <w:szCs w:val="24"/>
            </w:rPr>
            <w:fldChar w:fldCharType="end"/>
          </w:r>
        </w:p>
        <w:p w14:paraId="74E37077">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_Toc12336 </w:instrText>
          </w:r>
          <w:r>
            <w:rPr>
              <w:rFonts w:hint="eastAsia" w:ascii="仿宋" w:hAnsi="仿宋" w:eastAsia="仿宋" w:cs="仿宋"/>
              <w:szCs w:val="24"/>
            </w:rPr>
            <w:fldChar w:fldCharType="separate"/>
          </w:r>
          <w:r>
            <w:rPr>
              <w:rFonts w:hint="eastAsia" w:ascii="仿宋" w:hAnsi="仿宋" w:eastAsia="仿宋" w:cs="仿宋"/>
              <w:bCs/>
              <w:highlight w:val="none"/>
            </w:rPr>
            <w:t>二、总  则</w:t>
          </w:r>
          <w:r>
            <w:tab/>
          </w:r>
          <w:r>
            <w:fldChar w:fldCharType="begin"/>
          </w:r>
          <w:r>
            <w:instrText xml:space="preserve"> PAGEREF _Toc12336 \h </w:instrText>
          </w:r>
          <w:r>
            <w:fldChar w:fldCharType="separate"/>
          </w:r>
          <w:r>
            <w:t>5</w:t>
          </w:r>
          <w:r>
            <w:fldChar w:fldCharType="end"/>
          </w:r>
          <w:r>
            <w:rPr>
              <w:rFonts w:hint="eastAsia" w:ascii="仿宋" w:hAnsi="仿宋" w:eastAsia="仿宋" w:cs="仿宋"/>
              <w:color w:val="auto"/>
              <w:szCs w:val="24"/>
            </w:rPr>
            <w:fldChar w:fldCharType="end"/>
          </w:r>
        </w:p>
        <w:p w14:paraId="0B630468">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_Toc31274 </w:instrText>
          </w:r>
          <w:r>
            <w:rPr>
              <w:rFonts w:hint="eastAsia" w:ascii="仿宋" w:hAnsi="仿宋" w:eastAsia="仿宋" w:cs="仿宋"/>
              <w:szCs w:val="24"/>
            </w:rPr>
            <w:fldChar w:fldCharType="separate"/>
          </w:r>
          <w:r>
            <w:rPr>
              <w:rFonts w:hint="eastAsia" w:ascii="仿宋" w:hAnsi="仿宋" w:eastAsia="仿宋" w:cs="仿宋"/>
              <w:bCs/>
              <w:highlight w:val="none"/>
            </w:rPr>
            <w:t>三、招标文件</w:t>
          </w:r>
          <w:r>
            <w:tab/>
          </w:r>
          <w:r>
            <w:fldChar w:fldCharType="begin"/>
          </w:r>
          <w:r>
            <w:instrText xml:space="preserve"> PAGEREF _Toc31274 \h </w:instrText>
          </w:r>
          <w:r>
            <w:fldChar w:fldCharType="separate"/>
          </w:r>
          <w:r>
            <w:t>5</w:t>
          </w:r>
          <w:r>
            <w:fldChar w:fldCharType="end"/>
          </w:r>
          <w:r>
            <w:rPr>
              <w:rFonts w:hint="eastAsia" w:ascii="仿宋" w:hAnsi="仿宋" w:eastAsia="仿宋" w:cs="仿宋"/>
              <w:color w:val="auto"/>
              <w:szCs w:val="24"/>
            </w:rPr>
            <w:fldChar w:fldCharType="end"/>
          </w:r>
        </w:p>
        <w:p w14:paraId="1DCEC2E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_Toc4623 </w:instrText>
          </w:r>
          <w:r>
            <w:rPr>
              <w:rFonts w:hint="eastAsia" w:ascii="仿宋" w:hAnsi="仿宋" w:eastAsia="仿宋" w:cs="仿宋"/>
              <w:szCs w:val="24"/>
            </w:rPr>
            <w:fldChar w:fldCharType="separate"/>
          </w:r>
          <w:r>
            <w:rPr>
              <w:rFonts w:hint="eastAsia" w:ascii="仿宋" w:hAnsi="仿宋" w:eastAsia="仿宋" w:cs="仿宋"/>
              <w:bCs/>
              <w:highlight w:val="none"/>
            </w:rPr>
            <w:t>四、投标文件</w:t>
          </w:r>
          <w:r>
            <w:tab/>
          </w:r>
          <w:r>
            <w:fldChar w:fldCharType="begin"/>
          </w:r>
          <w:r>
            <w:instrText xml:space="preserve"> PAGEREF _Toc4623 \h </w:instrText>
          </w:r>
          <w:r>
            <w:fldChar w:fldCharType="separate"/>
          </w:r>
          <w:r>
            <w:t>6</w:t>
          </w:r>
          <w:r>
            <w:fldChar w:fldCharType="end"/>
          </w:r>
          <w:r>
            <w:rPr>
              <w:rFonts w:hint="eastAsia" w:ascii="仿宋" w:hAnsi="仿宋" w:eastAsia="仿宋" w:cs="仿宋"/>
              <w:color w:val="auto"/>
              <w:szCs w:val="24"/>
            </w:rPr>
            <w:fldChar w:fldCharType="end"/>
          </w:r>
        </w:p>
        <w:p w14:paraId="1795340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_Toc3161 </w:instrText>
          </w:r>
          <w:r>
            <w:rPr>
              <w:rFonts w:hint="eastAsia" w:ascii="仿宋" w:hAnsi="仿宋" w:eastAsia="仿宋" w:cs="仿宋"/>
              <w:szCs w:val="24"/>
            </w:rPr>
            <w:fldChar w:fldCharType="separate"/>
          </w:r>
          <w:r>
            <w:rPr>
              <w:rFonts w:hint="eastAsia" w:ascii="仿宋" w:hAnsi="仿宋" w:eastAsia="仿宋" w:cs="仿宋"/>
              <w:bCs/>
              <w:highlight w:val="none"/>
            </w:rPr>
            <w:t>五、开标和中标</w:t>
          </w:r>
          <w:r>
            <w:tab/>
          </w:r>
          <w:r>
            <w:fldChar w:fldCharType="begin"/>
          </w:r>
          <w:r>
            <w:instrText xml:space="preserve"> PAGEREF _Toc3161 \h </w:instrText>
          </w:r>
          <w:r>
            <w:fldChar w:fldCharType="separate"/>
          </w:r>
          <w:r>
            <w:t>10</w:t>
          </w:r>
          <w:r>
            <w:fldChar w:fldCharType="end"/>
          </w:r>
          <w:r>
            <w:rPr>
              <w:rFonts w:hint="eastAsia" w:ascii="仿宋" w:hAnsi="仿宋" w:eastAsia="仿宋" w:cs="仿宋"/>
              <w:color w:val="auto"/>
              <w:szCs w:val="24"/>
            </w:rPr>
            <w:fldChar w:fldCharType="end"/>
          </w:r>
        </w:p>
        <w:p w14:paraId="510C4B57">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_Toc11580 </w:instrText>
          </w:r>
          <w:r>
            <w:rPr>
              <w:rFonts w:hint="eastAsia" w:ascii="仿宋" w:hAnsi="仿宋" w:eastAsia="仿宋" w:cs="仿宋"/>
              <w:szCs w:val="24"/>
            </w:rPr>
            <w:fldChar w:fldCharType="separate"/>
          </w:r>
          <w:r>
            <w:rPr>
              <w:rFonts w:hint="eastAsia" w:ascii="仿宋" w:hAnsi="仿宋" w:eastAsia="仿宋" w:cs="仿宋"/>
              <w:bCs/>
              <w:highlight w:val="none"/>
            </w:rPr>
            <w:t>六、签订及履行合同和验收</w:t>
          </w:r>
          <w:r>
            <w:tab/>
          </w:r>
          <w:r>
            <w:fldChar w:fldCharType="begin"/>
          </w:r>
          <w:r>
            <w:instrText xml:space="preserve"> PAGEREF _Toc11580 \h </w:instrText>
          </w:r>
          <w:r>
            <w:fldChar w:fldCharType="separate"/>
          </w:r>
          <w:r>
            <w:t>13</w:t>
          </w:r>
          <w:r>
            <w:fldChar w:fldCharType="end"/>
          </w:r>
          <w:r>
            <w:rPr>
              <w:rFonts w:hint="eastAsia" w:ascii="仿宋" w:hAnsi="仿宋" w:eastAsia="仿宋" w:cs="仿宋"/>
              <w:color w:val="auto"/>
              <w:szCs w:val="24"/>
            </w:rPr>
            <w:fldChar w:fldCharType="end"/>
          </w:r>
        </w:p>
        <w:p w14:paraId="64B62F1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_Toc23099 </w:instrText>
          </w:r>
          <w:r>
            <w:rPr>
              <w:rFonts w:hint="eastAsia" w:ascii="仿宋" w:hAnsi="仿宋" w:eastAsia="仿宋" w:cs="仿宋"/>
              <w:szCs w:val="24"/>
            </w:rPr>
            <w:fldChar w:fldCharType="separate"/>
          </w:r>
          <w:r>
            <w:rPr>
              <w:rFonts w:hint="eastAsia" w:ascii="仿宋" w:hAnsi="仿宋" w:eastAsia="仿宋" w:cs="仿宋"/>
              <w:bCs/>
              <w:highlight w:val="none"/>
            </w:rPr>
            <w:t>七、投标纪律要求</w:t>
          </w:r>
          <w:r>
            <w:tab/>
          </w:r>
          <w:r>
            <w:fldChar w:fldCharType="begin"/>
          </w:r>
          <w:r>
            <w:instrText xml:space="preserve"> PAGEREF _Toc23099 \h </w:instrText>
          </w:r>
          <w:r>
            <w:fldChar w:fldCharType="separate"/>
          </w:r>
          <w:r>
            <w:t>14</w:t>
          </w:r>
          <w:r>
            <w:fldChar w:fldCharType="end"/>
          </w:r>
          <w:r>
            <w:rPr>
              <w:rFonts w:hint="eastAsia" w:ascii="仿宋" w:hAnsi="仿宋" w:eastAsia="仿宋" w:cs="仿宋"/>
              <w:color w:val="auto"/>
              <w:szCs w:val="24"/>
            </w:rPr>
            <w:fldChar w:fldCharType="end"/>
          </w:r>
        </w:p>
        <w:p w14:paraId="29D7C091">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_Toc10106 </w:instrText>
          </w:r>
          <w:r>
            <w:rPr>
              <w:rFonts w:hint="eastAsia" w:ascii="仿宋" w:hAnsi="仿宋" w:eastAsia="仿宋" w:cs="仿宋"/>
              <w:szCs w:val="24"/>
            </w:rPr>
            <w:fldChar w:fldCharType="separate"/>
          </w:r>
          <w:r>
            <w:rPr>
              <w:rFonts w:hint="eastAsia" w:ascii="仿宋" w:hAnsi="仿宋" w:eastAsia="仿宋" w:cs="Times New Roman"/>
              <w:bCs/>
              <w:szCs w:val="36"/>
            </w:rPr>
            <w:t>第三章  投标文件格式</w:t>
          </w:r>
          <w:r>
            <w:tab/>
          </w:r>
          <w:r>
            <w:fldChar w:fldCharType="begin"/>
          </w:r>
          <w:r>
            <w:instrText xml:space="preserve"> PAGEREF _Toc10106 \h </w:instrText>
          </w:r>
          <w:r>
            <w:fldChar w:fldCharType="separate"/>
          </w:r>
          <w:r>
            <w:t>16</w:t>
          </w:r>
          <w:r>
            <w:fldChar w:fldCharType="end"/>
          </w:r>
          <w:r>
            <w:rPr>
              <w:rFonts w:hint="eastAsia" w:ascii="仿宋" w:hAnsi="仿宋" w:eastAsia="仿宋" w:cs="仿宋"/>
              <w:color w:val="auto"/>
              <w:szCs w:val="24"/>
            </w:rPr>
            <w:fldChar w:fldCharType="end"/>
          </w:r>
        </w:p>
        <w:p w14:paraId="09954E65">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_Toc31101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格式1</w:t>
          </w:r>
          <w:r>
            <w:rPr>
              <w:rFonts w:hint="eastAsia" w:ascii="仿宋" w:hAnsi="仿宋" w:eastAsia="仿宋" w:cs="仿宋"/>
              <w:bCs/>
              <w:szCs w:val="30"/>
              <w:highlight w:val="none"/>
            </w:rPr>
            <w:t>封面格式</w:t>
          </w:r>
          <w:r>
            <w:tab/>
          </w:r>
          <w:r>
            <w:fldChar w:fldCharType="begin"/>
          </w:r>
          <w:r>
            <w:instrText xml:space="preserve"> PAGEREF _Toc31101 \h </w:instrText>
          </w:r>
          <w:r>
            <w:fldChar w:fldCharType="separate"/>
          </w:r>
          <w:r>
            <w:t>17</w:t>
          </w:r>
          <w:r>
            <w:fldChar w:fldCharType="end"/>
          </w:r>
          <w:r>
            <w:rPr>
              <w:rFonts w:hint="eastAsia" w:ascii="仿宋" w:hAnsi="仿宋" w:eastAsia="仿宋" w:cs="仿宋"/>
              <w:color w:val="auto"/>
              <w:szCs w:val="24"/>
            </w:rPr>
            <w:fldChar w:fldCharType="end"/>
          </w:r>
        </w:p>
        <w:p w14:paraId="1389DA59">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_Toc29413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格式2具有独立承担民事责任的能力</w:t>
          </w:r>
          <w:r>
            <w:tab/>
          </w:r>
          <w:r>
            <w:fldChar w:fldCharType="begin"/>
          </w:r>
          <w:r>
            <w:instrText xml:space="preserve"> PAGEREF _Toc29413 \h </w:instrText>
          </w:r>
          <w:r>
            <w:fldChar w:fldCharType="separate"/>
          </w:r>
          <w:r>
            <w:t>18</w:t>
          </w:r>
          <w:r>
            <w:fldChar w:fldCharType="end"/>
          </w:r>
          <w:r>
            <w:rPr>
              <w:rFonts w:hint="eastAsia" w:ascii="仿宋" w:hAnsi="仿宋" w:eastAsia="仿宋" w:cs="仿宋"/>
              <w:color w:val="auto"/>
              <w:szCs w:val="24"/>
            </w:rPr>
            <w:fldChar w:fldCharType="end"/>
          </w:r>
        </w:p>
        <w:p w14:paraId="26F17BD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_Toc8776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格式3具有良好的商业信誉和健全的财务会计制度</w:t>
          </w:r>
          <w:r>
            <w:tab/>
          </w:r>
          <w:r>
            <w:fldChar w:fldCharType="begin"/>
          </w:r>
          <w:r>
            <w:instrText xml:space="preserve"> PAGEREF _Toc8776 \h </w:instrText>
          </w:r>
          <w:r>
            <w:fldChar w:fldCharType="separate"/>
          </w:r>
          <w:r>
            <w:t>19</w:t>
          </w:r>
          <w:r>
            <w:fldChar w:fldCharType="end"/>
          </w:r>
          <w:r>
            <w:rPr>
              <w:rFonts w:hint="eastAsia" w:ascii="仿宋" w:hAnsi="仿宋" w:eastAsia="仿宋" w:cs="仿宋"/>
              <w:color w:val="auto"/>
              <w:szCs w:val="24"/>
            </w:rPr>
            <w:fldChar w:fldCharType="end"/>
          </w:r>
        </w:p>
        <w:p w14:paraId="03D9C00F">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_Toc17277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格式4具有履行合同所必需的设备和专业技术能力</w:t>
          </w:r>
          <w:r>
            <w:tab/>
          </w:r>
          <w:r>
            <w:fldChar w:fldCharType="begin"/>
          </w:r>
          <w:r>
            <w:instrText xml:space="preserve"> PAGEREF _Toc17277 \h </w:instrText>
          </w:r>
          <w:r>
            <w:fldChar w:fldCharType="separate"/>
          </w:r>
          <w:r>
            <w:t>20</w:t>
          </w:r>
          <w:r>
            <w:fldChar w:fldCharType="end"/>
          </w:r>
          <w:r>
            <w:rPr>
              <w:rFonts w:hint="eastAsia" w:ascii="仿宋" w:hAnsi="仿宋" w:eastAsia="仿宋" w:cs="仿宋"/>
              <w:color w:val="auto"/>
              <w:szCs w:val="24"/>
            </w:rPr>
            <w:fldChar w:fldCharType="end"/>
          </w:r>
        </w:p>
        <w:p w14:paraId="48461CC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_Toc2865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格式5具有依法缴纳税收和社会保障资金的良好记录</w:t>
          </w:r>
          <w:r>
            <w:tab/>
          </w:r>
          <w:r>
            <w:fldChar w:fldCharType="begin"/>
          </w:r>
          <w:r>
            <w:instrText xml:space="preserve"> PAGEREF _Toc2865 \h </w:instrText>
          </w:r>
          <w:r>
            <w:fldChar w:fldCharType="separate"/>
          </w:r>
          <w:r>
            <w:t>21</w:t>
          </w:r>
          <w:r>
            <w:fldChar w:fldCharType="end"/>
          </w:r>
          <w:r>
            <w:rPr>
              <w:rFonts w:hint="eastAsia" w:ascii="仿宋" w:hAnsi="仿宋" w:eastAsia="仿宋" w:cs="仿宋"/>
              <w:color w:val="auto"/>
              <w:szCs w:val="24"/>
            </w:rPr>
            <w:fldChar w:fldCharType="end"/>
          </w:r>
        </w:p>
        <w:p w14:paraId="4A3793A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_Toc17873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格式6参加本次采购活动前三年内，在经营活动中没有重大违法记录</w:t>
          </w:r>
          <w:r>
            <w:tab/>
          </w:r>
          <w:r>
            <w:fldChar w:fldCharType="begin"/>
          </w:r>
          <w:r>
            <w:instrText xml:space="preserve"> PAGEREF _Toc17873 \h </w:instrText>
          </w:r>
          <w:r>
            <w:fldChar w:fldCharType="separate"/>
          </w:r>
          <w:r>
            <w:t>22</w:t>
          </w:r>
          <w:r>
            <w:fldChar w:fldCharType="end"/>
          </w:r>
          <w:r>
            <w:rPr>
              <w:rFonts w:hint="eastAsia" w:ascii="仿宋" w:hAnsi="仿宋" w:eastAsia="仿宋" w:cs="仿宋"/>
              <w:color w:val="auto"/>
              <w:szCs w:val="24"/>
            </w:rPr>
            <w:fldChar w:fldCharType="end"/>
          </w:r>
        </w:p>
        <w:p w14:paraId="5D01239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_Toc26026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格式7承诺函1</w:t>
          </w:r>
          <w:r>
            <w:tab/>
          </w:r>
          <w:r>
            <w:fldChar w:fldCharType="begin"/>
          </w:r>
          <w:r>
            <w:instrText xml:space="preserve"> PAGEREF _Toc26026 \h </w:instrText>
          </w:r>
          <w:r>
            <w:fldChar w:fldCharType="separate"/>
          </w:r>
          <w:r>
            <w:t>23</w:t>
          </w:r>
          <w:r>
            <w:fldChar w:fldCharType="end"/>
          </w:r>
          <w:r>
            <w:rPr>
              <w:rFonts w:hint="eastAsia" w:ascii="仿宋" w:hAnsi="仿宋" w:eastAsia="仿宋" w:cs="仿宋"/>
              <w:color w:val="auto"/>
              <w:szCs w:val="24"/>
            </w:rPr>
            <w:fldChar w:fldCharType="end"/>
          </w:r>
        </w:p>
        <w:p w14:paraId="2655BD7B">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_Toc18465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格式8参加本项目投标人应提供的资质性证明材料</w:t>
          </w:r>
          <w:r>
            <w:tab/>
          </w:r>
          <w:r>
            <w:fldChar w:fldCharType="begin"/>
          </w:r>
          <w:r>
            <w:instrText xml:space="preserve"> PAGEREF _Toc18465 \h </w:instrText>
          </w:r>
          <w:r>
            <w:fldChar w:fldCharType="separate"/>
          </w:r>
          <w:r>
            <w:t>24</w:t>
          </w:r>
          <w:r>
            <w:fldChar w:fldCharType="end"/>
          </w:r>
          <w:r>
            <w:rPr>
              <w:rFonts w:hint="eastAsia" w:ascii="仿宋" w:hAnsi="仿宋" w:eastAsia="仿宋" w:cs="仿宋"/>
              <w:color w:val="auto"/>
              <w:szCs w:val="24"/>
            </w:rPr>
            <w:fldChar w:fldCharType="end"/>
          </w:r>
        </w:p>
        <w:p w14:paraId="6C0D6E5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_Toc1834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格式9参加本次投标活动的投标人代表</w:t>
          </w:r>
          <w:r>
            <w:tab/>
          </w:r>
          <w:r>
            <w:fldChar w:fldCharType="begin"/>
          </w:r>
          <w:r>
            <w:instrText xml:space="preserve"> PAGEREF _Toc1834 \h </w:instrText>
          </w:r>
          <w:r>
            <w:fldChar w:fldCharType="separate"/>
          </w:r>
          <w:r>
            <w:t>25</w:t>
          </w:r>
          <w:r>
            <w:fldChar w:fldCharType="end"/>
          </w:r>
          <w:r>
            <w:rPr>
              <w:rFonts w:hint="eastAsia" w:ascii="仿宋" w:hAnsi="仿宋" w:eastAsia="仿宋" w:cs="仿宋"/>
              <w:color w:val="auto"/>
              <w:szCs w:val="24"/>
            </w:rPr>
            <w:fldChar w:fldCharType="end"/>
          </w:r>
        </w:p>
        <w:p w14:paraId="3AFC26D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_Toc20849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10</w:t>
          </w:r>
          <w:r>
            <w:rPr>
              <w:rFonts w:hint="eastAsia" w:ascii="仿宋" w:hAnsi="仿宋" w:eastAsia="仿宋" w:cs="仿宋"/>
              <w:szCs w:val="30"/>
              <w:highlight w:val="none"/>
              <w:lang w:eastAsia="zh-CN"/>
            </w:rPr>
            <w:t>开标一览表</w:t>
          </w:r>
          <w:r>
            <w:tab/>
          </w:r>
          <w:r>
            <w:fldChar w:fldCharType="begin"/>
          </w:r>
          <w:r>
            <w:instrText xml:space="preserve"> PAGEREF _Toc20849 \h </w:instrText>
          </w:r>
          <w:r>
            <w:fldChar w:fldCharType="separate"/>
          </w:r>
          <w:r>
            <w:t>27</w:t>
          </w:r>
          <w:r>
            <w:fldChar w:fldCharType="end"/>
          </w:r>
          <w:r>
            <w:rPr>
              <w:rFonts w:hint="eastAsia" w:ascii="仿宋" w:hAnsi="仿宋" w:eastAsia="仿宋" w:cs="仿宋"/>
              <w:color w:val="auto"/>
              <w:szCs w:val="24"/>
            </w:rPr>
            <w:fldChar w:fldCharType="end"/>
          </w:r>
        </w:p>
        <w:p w14:paraId="0E640B5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_Toc27748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bCs/>
              <w:szCs w:val="30"/>
              <w:highlight w:val="none"/>
              <w:lang w:val="en-US" w:eastAsia="zh-CN"/>
            </w:rPr>
            <w:t>11</w:t>
          </w:r>
          <w:r>
            <w:rPr>
              <w:rFonts w:hint="eastAsia" w:ascii="仿宋" w:hAnsi="仿宋" w:eastAsia="仿宋" w:cs="仿宋"/>
              <w:szCs w:val="30"/>
              <w:highlight w:val="none"/>
              <w:lang w:val="en-US" w:eastAsia="zh-CN"/>
            </w:rPr>
            <w:t>技术方案</w:t>
          </w:r>
          <w:r>
            <w:tab/>
          </w:r>
          <w:r>
            <w:fldChar w:fldCharType="begin"/>
          </w:r>
          <w:r>
            <w:instrText xml:space="preserve"> PAGEREF _Toc27748 \h </w:instrText>
          </w:r>
          <w:r>
            <w:fldChar w:fldCharType="separate"/>
          </w:r>
          <w:r>
            <w:t>28</w:t>
          </w:r>
          <w:r>
            <w:fldChar w:fldCharType="end"/>
          </w:r>
          <w:r>
            <w:rPr>
              <w:rFonts w:hint="eastAsia" w:ascii="仿宋" w:hAnsi="仿宋" w:eastAsia="仿宋" w:cs="仿宋"/>
              <w:color w:val="auto"/>
              <w:szCs w:val="24"/>
            </w:rPr>
            <w:fldChar w:fldCharType="end"/>
          </w:r>
        </w:p>
        <w:p w14:paraId="4938117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_Toc15975 </w:instrText>
          </w:r>
          <w:r>
            <w:rPr>
              <w:rFonts w:hint="eastAsia" w:ascii="仿宋" w:hAnsi="仿宋" w:eastAsia="仿宋" w:cs="仿宋"/>
              <w:szCs w:val="24"/>
            </w:rPr>
            <w:fldChar w:fldCharType="separate"/>
          </w:r>
          <w:r>
            <w:rPr>
              <w:rFonts w:hint="eastAsia" w:ascii="仿宋" w:hAnsi="仿宋" w:eastAsia="仿宋" w:cs="仿宋"/>
              <w:bCs/>
              <w:szCs w:val="30"/>
              <w:highlight w:val="none"/>
              <w:lang w:eastAsia="zh-CN"/>
            </w:rPr>
            <w:t>格式</w:t>
          </w:r>
          <w:r>
            <w:rPr>
              <w:rFonts w:hint="eastAsia" w:ascii="仿宋" w:hAnsi="仿宋" w:eastAsia="仿宋" w:cs="仿宋"/>
              <w:bCs/>
              <w:szCs w:val="30"/>
              <w:highlight w:val="none"/>
              <w:lang w:val="en-US" w:eastAsia="zh-CN"/>
            </w:rPr>
            <w:t>12技术</w:t>
          </w:r>
          <w:r>
            <w:rPr>
              <w:rFonts w:hint="eastAsia" w:ascii="仿宋" w:hAnsi="仿宋" w:eastAsia="仿宋" w:cs="仿宋"/>
              <w:bCs/>
              <w:szCs w:val="30"/>
              <w:highlight w:val="none"/>
            </w:rPr>
            <w:t>要求应答表</w:t>
          </w:r>
          <w:r>
            <w:tab/>
          </w:r>
          <w:r>
            <w:fldChar w:fldCharType="begin"/>
          </w:r>
          <w:r>
            <w:instrText xml:space="preserve"> PAGEREF _Toc15975 \h </w:instrText>
          </w:r>
          <w:r>
            <w:fldChar w:fldCharType="separate"/>
          </w:r>
          <w:r>
            <w:t>29</w:t>
          </w:r>
          <w:r>
            <w:fldChar w:fldCharType="end"/>
          </w:r>
          <w:r>
            <w:rPr>
              <w:rFonts w:hint="eastAsia" w:ascii="仿宋" w:hAnsi="仿宋" w:eastAsia="仿宋" w:cs="仿宋"/>
              <w:color w:val="auto"/>
              <w:szCs w:val="24"/>
            </w:rPr>
            <w:fldChar w:fldCharType="end"/>
          </w:r>
        </w:p>
        <w:p w14:paraId="6A7E2B9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_Toc28472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13</w:t>
          </w:r>
          <w:r>
            <w:rPr>
              <w:rFonts w:hint="eastAsia" w:ascii="仿宋" w:hAnsi="仿宋" w:eastAsia="仿宋" w:cs="仿宋"/>
              <w:bCs/>
              <w:szCs w:val="30"/>
              <w:highlight w:val="none"/>
              <w:lang w:val="en-US" w:eastAsia="zh-CN"/>
            </w:rPr>
            <w:t>主要</w:t>
          </w:r>
          <w:r>
            <w:rPr>
              <w:rFonts w:hint="eastAsia" w:ascii="仿宋" w:hAnsi="仿宋" w:eastAsia="仿宋" w:cs="仿宋"/>
              <w:szCs w:val="30"/>
              <w:highlight w:val="none"/>
            </w:rPr>
            <w:t>人员情况表</w:t>
          </w:r>
          <w:r>
            <w:tab/>
          </w:r>
          <w:r>
            <w:fldChar w:fldCharType="begin"/>
          </w:r>
          <w:r>
            <w:instrText xml:space="preserve"> PAGEREF _Toc28472 \h </w:instrText>
          </w:r>
          <w:r>
            <w:fldChar w:fldCharType="separate"/>
          </w:r>
          <w:r>
            <w:t>30</w:t>
          </w:r>
          <w:r>
            <w:fldChar w:fldCharType="end"/>
          </w:r>
          <w:r>
            <w:rPr>
              <w:rFonts w:hint="eastAsia" w:ascii="仿宋" w:hAnsi="仿宋" w:eastAsia="仿宋" w:cs="仿宋"/>
              <w:color w:val="auto"/>
              <w:szCs w:val="24"/>
            </w:rPr>
            <w:fldChar w:fldCharType="end"/>
          </w:r>
        </w:p>
        <w:p w14:paraId="2BC834A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_Toc31211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格式14承诺函2</w:t>
          </w:r>
          <w:r>
            <w:tab/>
          </w:r>
          <w:r>
            <w:fldChar w:fldCharType="begin"/>
          </w:r>
          <w:r>
            <w:instrText xml:space="preserve"> PAGEREF _Toc31211 \h </w:instrText>
          </w:r>
          <w:r>
            <w:fldChar w:fldCharType="separate"/>
          </w:r>
          <w:r>
            <w:t>31</w:t>
          </w:r>
          <w:r>
            <w:fldChar w:fldCharType="end"/>
          </w:r>
          <w:r>
            <w:rPr>
              <w:rFonts w:hint="eastAsia" w:ascii="仿宋" w:hAnsi="仿宋" w:eastAsia="仿宋" w:cs="仿宋"/>
              <w:color w:val="auto"/>
              <w:szCs w:val="24"/>
            </w:rPr>
            <w:fldChar w:fldCharType="end"/>
          </w:r>
        </w:p>
        <w:p w14:paraId="0DF580D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_Toc3406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15投标</w:t>
          </w:r>
          <w:r>
            <w:rPr>
              <w:rFonts w:hint="eastAsia" w:ascii="仿宋" w:hAnsi="仿宋" w:eastAsia="仿宋" w:cs="仿宋"/>
              <w:szCs w:val="30"/>
              <w:highlight w:val="none"/>
              <w:lang w:eastAsia="zh-CN"/>
            </w:rPr>
            <w:t>函</w:t>
          </w:r>
          <w:r>
            <w:tab/>
          </w:r>
          <w:r>
            <w:fldChar w:fldCharType="begin"/>
          </w:r>
          <w:r>
            <w:instrText xml:space="preserve"> PAGEREF _Toc3406 \h </w:instrText>
          </w:r>
          <w:r>
            <w:fldChar w:fldCharType="separate"/>
          </w:r>
          <w:r>
            <w:t>32</w:t>
          </w:r>
          <w:r>
            <w:fldChar w:fldCharType="end"/>
          </w:r>
          <w:r>
            <w:rPr>
              <w:rFonts w:hint="eastAsia" w:ascii="仿宋" w:hAnsi="仿宋" w:eastAsia="仿宋" w:cs="仿宋"/>
              <w:color w:val="auto"/>
              <w:szCs w:val="24"/>
            </w:rPr>
            <w:fldChar w:fldCharType="end"/>
          </w:r>
        </w:p>
        <w:p w14:paraId="7016F48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_Toc22492 </w:instrText>
          </w:r>
          <w:r>
            <w:rPr>
              <w:rFonts w:hint="eastAsia" w:ascii="仿宋" w:hAnsi="仿宋" w:eastAsia="仿宋" w:cs="仿宋"/>
              <w:szCs w:val="24"/>
            </w:rPr>
            <w:fldChar w:fldCharType="separate"/>
          </w:r>
          <w:r>
            <w:rPr>
              <w:rFonts w:hint="eastAsia" w:ascii="仿宋" w:hAnsi="仿宋" w:eastAsia="仿宋" w:cs="仿宋"/>
              <w:szCs w:val="30"/>
              <w:highlight w:val="none"/>
              <w:lang w:val="en-US" w:eastAsia="zh-CN"/>
            </w:rPr>
            <w:t>格式16投标人基本情况表</w:t>
          </w:r>
          <w:r>
            <w:tab/>
          </w:r>
          <w:r>
            <w:fldChar w:fldCharType="begin"/>
          </w:r>
          <w:r>
            <w:instrText xml:space="preserve"> PAGEREF _Toc22492 \h </w:instrText>
          </w:r>
          <w:r>
            <w:fldChar w:fldCharType="separate"/>
          </w:r>
          <w:r>
            <w:t>33</w:t>
          </w:r>
          <w:r>
            <w:fldChar w:fldCharType="end"/>
          </w:r>
          <w:r>
            <w:rPr>
              <w:rFonts w:hint="eastAsia" w:ascii="仿宋" w:hAnsi="仿宋" w:eastAsia="仿宋" w:cs="仿宋"/>
              <w:color w:val="auto"/>
              <w:szCs w:val="24"/>
            </w:rPr>
            <w:fldChar w:fldCharType="end"/>
          </w:r>
        </w:p>
        <w:p w14:paraId="69548588">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_Toc19584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17</w:t>
          </w:r>
          <w:r>
            <w:rPr>
              <w:rFonts w:hint="eastAsia" w:ascii="仿宋" w:hAnsi="仿宋" w:eastAsia="仿宋" w:cs="仿宋"/>
              <w:szCs w:val="30"/>
              <w:highlight w:val="none"/>
            </w:rPr>
            <w:t>商务应答表</w:t>
          </w:r>
          <w:r>
            <w:tab/>
          </w:r>
          <w:r>
            <w:fldChar w:fldCharType="begin"/>
          </w:r>
          <w:r>
            <w:instrText xml:space="preserve"> PAGEREF _Toc19584 \h </w:instrText>
          </w:r>
          <w:r>
            <w:fldChar w:fldCharType="separate"/>
          </w:r>
          <w:r>
            <w:t>34</w:t>
          </w:r>
          <w:r>
            <w:fldChar w:fldCharType="end"/>
          </w:r>
          <w:r>
            <w:rPr>
              <w:rFonts w:hint="eastAsia" w:ascii="仿宋" w:hAnsi="仿宋" w:eastAsia="仿宋" w:cs="仿宋"/>
              <w:color w:val="auto"/>
              <w:szCs w:val="24"/>
            </w:rPr>
            <w:fldChar w:fldCharType="end"/>
          </w:r>
        </w:p>
        <w:p w14:paraId="7C96EEF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_Toc2648 </w:instrText>
          </w:r>
          <w:r>
            <w:rPr>
              <w:rFonts w:hint="eastAsia" w:ascii="仿宋" w:hAnsi="仿宋" w:eastAsia="仿宋" w:cs="仿宋"/>
              <w:szCs w:val="24"/>
            </w:rPr>
            <w:fldChar w:fldCharType="separate"/>
          </w:r>
          <w:r>
            <w:rPr>
              <w:rFonts w:hint="eastAsia" w:ascii="仿宋" w:hAnsi="仿宋" w:eastAsia="仿宋" w:cs="仿宋"/>
              <w:bCs/>
              <w:szCs w:val="30"/>
              <w:highlight w:val="none"/>
              <w:lang w:eastAsia="zh-CN"/>
            </w:rPr>
            <w:t>格式</w:t>
          </w:r>
          <w:r>
            <w:rPr>
              <w:rFonts w:hint="eastAsia" w:ascii="仿宋" w:hAnsi="仿宋" w:eastAsia="仿宋" w:cs="仿宋"/>
              <w:bCs/>
              <w:szCs w:val="30"/>
              <w:highlight w:val="none"/>
              <w:lang w:val="en-US" w:eastAsia="zh-CN"/>
            </w:rPr>
            <w:t>18投标人类似项目业绩一览表</w:t>
          </w:r>
          <w:r>
            <w:tab/>
          </w:r>
          <w:r>
            <w:fldChar w:fldCharType="begin"/>
          </w:r>
          <w:r>
            <w:instrText xml:space="preserve"> PAGEREF _Toc2648 \h </w:instrText>
          </w:r>
          <w:r>
            <w:fldChar w:fldCharType="separate"/>
          </w:r>
          <w:r>
            <w:t>35</w:t>
          </w:r>
          <w:r>
            <w:fldChar w:fldCharType="end"/>
          </w:r>
          <w:r>
            <w:rPr>
              <w:rFonts w:hint="eastAsia" w:ascii="仿宋" w:hAnsi="仿宋" w:eastAsia="仿宋" w:cs="仿宋"/>
              <w:color w:val="auto"/>
              <w:szCs w:val="24"/>
            </w:rPr>
            <w:fldChar w:fldCharType="end"/>
          </w:r>
        </w:p>
        <w:p w14:paraId="685BC685">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_Toc29555 </w:instrText>
          </w:r>
          <w:r>
            <w:rPr>
              <w:rFonts w:hint="eastAsia" w:ascii="仿宋" w:hAnsi="仿宋" w:eastAsia="仿宋" w:cs="仿宋"/>
              <w:szCs w:val="24"/>
            </w:rPr>
            <w:fldChar w:fldCharType="separate"/>
          </w:r>
          <w:r>
            <w:rPr>
              <w:rFonts w:hint="eastAsia" w:ascii="仿宋" w:hAnsi="仿宋" w:eastAsia="仿宋" w:cs="Times New Roman"/>
              <w:bCs/>
              <w:szCs w:val="36"/>
            </w:rPr>
            <w:t>第四章  投标人的资格、资质性及其他类似效力要求</w:t>
          </w:r>
          <w:r>
            <w:tab/>
          </w:r>
          <w:r>
            <w:fldChar w:fldCharType="begin"/>
          </w:r>
          <w:r>
            <w:instrText xml:space="preserve"> PAGEREF _Toc29555 \h </w:instrText>
          </w:r>
          <w:r>
            <w:fldChar w:fldCharType="separate"/>
          </w:r>
          <w:r>
            <w:t>36</w:t>
          </w:r>
          <w:r>
            <w:fldChar w:fldCharType="end"/>
          </w:r>
          <w:r>
            <w:rPr>
              <w:rFonts w:hint="eastAsia" w:ascii="仿宋" w:hAnsi="仿宋" w:eastAsia="仿宋" w:cs="仿宋"/>
              <w:color w:val="auto"/>
              <w:szCs w:val="24"/>
            </w:rPr>
            <w:fldChar w:fldCharType="end"/>
          </w:r>
        </w:p>
        <w:p w14:paraId="44CB4E5B">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_Toc11886 </w:instrText>
          </w:r>
          <w:r>
            <w:rPr>
              <w:rFonts w:hint="eastAsia" w:ascii="仿宋" w:hAnsi="仿宋" w:eastAsia="仿宋" w:cs="仿宋"/>
              <w:szCs w:val="24"/>
            </w:rPr>
            <w:fldChar w:fldCharType="separate"/>
          </w:r>
          <w:r>
            <w:rPr>
              <w:rFonts w:hint="eastAsia" w:ascii="仿宋" w:hAnsi="仿宋" w:eastAsia="仿宋"/>
              <w:bCs/>
              <w:szCs w:val="28"/>
            </w:rPr>
            <w:t>一、投标人资格、资质性要求</w:t>
          </w:r>
          <w:r>
            <w:rPr>
              <w:rFonts w:hint="eastAsia" w:ascii="仿宋" w:hAnsi="仿宋" w:eastAsia="仿宋"/>
              <w:bCs/>
              <w:szCs w:val="28"/>
              <w:lang w:eastAsia="zh-CN"/>
            </w:rPr>
            <w:t>（</w:t>
          </w:r>
          <w:r>
            <w:rPr>
              <w:rFonts w:hint="eastAsia" w:ascii="仿宋" w:hAnsi="仿宋" w:eastAsia="仿宋"/>
              <w:bCs/>
              <w:szCs w:val="28"/>
              <w:lang w:val="en-US" w:eastAsia="zh-CN"/>
            </w:rPr>
            <w:t>各包相同</w:t>
          </w:r>
          <w:r>
            <w:rPr>
              <w:rFonts w:hint="eastAsia" w:ascii="仿宋" w:hAnsi="仿宋" w:eastAsia="仿宋"/>
              <w:bCs/>
              <w:szCs w:val="28"/>
              <w:lang w:eastAsia="zh-CN"/>
            </w:rPr>
            <w:t>）</w:t>
          </w:r>
          <w:r>
            <w:tab/>
          </w:r>
          <w:r>
            <w:fldChar w:fldCharType="begin"/>
          </w:r>
          <w:r>
            <w:instrText xml:space="preserve"> PAGEREF _Toc11886 \h </w:instrText>
          </w:r>
          <w:r>
            <w:fldChar w:fldCharType="separate"/>
          </w:r>
          <w:r>
            <w:t>36</w:t>
          </w:r>
          <w:r>
            <w:fldChar w:fldCharType="end"/>
          </w:r>
          <w:r>
            <w:rPr>
              <w:rFonts w:hint="eastAsia" w:ascii="仿宋" w:hAnsi="仿宋" w:eastAsia="仿宋" w:cs="仿宋"/>
              <w:color w:val="auto"/>
              <w:szCs w:val="24"/>
            </w:rPr>
            <w:fldChar w:fldCharType="end"/>
          </w:r>
        </w:p>
        <w:p w14:paraId="6B797D1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_Toc16396 </w:instrText>
          </w:r>
          <w:r>
            <w:rPr>
              <w:rFonts w:hint="eastAsia" w:ascii="仿宋" w:hAnsi="仿宋" w:eastAsia="仿宋" w:cs="仿宋"/>
              <w:szCs w:val="24"/>
            </w:rPr>
            <w:fldChar w:fldCharType="separate"/>
          </w:r>
          <w:r>
            <w:rPr>
              <w:rFonts w:hint="eastAsia" w:ascii="仿宋" w:hAnsi="仿宋" w:eastAsia="仿宋" w:cs="Times New Roman"/>
              <w:bCs/>
              <w:szCs w:val="28"/>
              <w:lang w:eastAsia="zh-CN"/>
            </w:rPr>
            <w:t>二、投标人其他类似效力要求</w:t>
          </w:r>
          <w:r>
            <w:tab/>
          </w:r>
          <w:r>
            <w:fldChar w:fldCharType="begin"/>
          </w:r>
          <w:r>
            <w:instrText xml:space="preserve"> PAGEREF _Toc16396 \h </w:instrText>
          </w:r>
          <w:r>
            <w:fldChar w:fldCharType="separate"/>
          </w:r>
          <w:r>
            <w:t>36</w:t>
          </w:r>
          <w:r>
            <w:fldChar w:fldCharType="end"/>
          </w:r>
          <w:r>
            <w:rPr>
              <w:rFonts w:hint="eastAsia" w:ascii="仿宋" w:hAnsi="仿宋" w:eastAsia="仿宋" w:cs="仿宋"/>
              <w:color w:val="auto"/>
              <w:szCs w:val="24"/>
            </w:rPr>
            <w:fldChar w:fldCharType="end"/>
          </w:r>
        </w:p>
        <w:p w14:paraId="32042023">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_Toc4912 </w:instrText>
          </w:r>
          <w:r>
            <w:rPr>
              <w:rFonts w:hint="eastAsia" w:ascii="仿宋" w:hAnsi="仿宋" w:eastAsia="仿宋" w:cs="仿宋"/>
              <w:szCs w:val="24"/>
            </w:rPr>
            <w:fldChar w:fldCharType="separate"/>
          </w:r>
          <w:r>
            <w:rPr>
              <w:rFonts w:hint="eastAsia" w:ascii="仿宋" w:hAnsi="仿宋" w:eastAsia="仿宋" w:cs="Times New Roman"/>
              <w:bCs/>
              <w:szCs w:val="36"/>
            </w:rPr>
            <w:t xml:space="preserve">第五章  </w:t>
          </w:r>
          <w:r>
            <w:rPr>
              <w:rFonts w:hint="eastAsia" w:ascii="仿宋" w:hAnsi="仿宋" w:eastAsia="仿宋" w:cs="仿宋"/>
              <w:bCs w:val="0"/>
              <w:kern w:val="44"/>
              <w:szCs w:val="44"/>
              <w:highlight w:val="none"/>
              <w:lang w:val="en-US" w:eastAsia="zh-CN" w:bidi="ar-SA"/>
            </w:rPr>
            <w:t>投标人应当提供的资格、资质性及其他类似效力要求的相关证明材料</w:t>
          </w:r>
          <w:r>
            <w:tab/>
          </w:r>
          <w:r>
            <w:fldChar w:fldCharType="begin"/>
          </w:r>
          <w:r>
            <w:instrText xml:space="preserve"> PAGEREF _Toc4912 \h </w:instrText>
          </w:r>
          <w:r>
            <w:fldChar w:fldCharType="separate"/>
          </w:r>
          <w:r>
            <w:t>37</w:t>
          </w:r>
          <w:r>
            <w:fldChar w:fldCharType="end"/>
          </w:r>
          <w:r>
            <w:rPr>
              <w:rFonts w:hint="eastAsia" w:ascii="仿宋" w:hAnsi="仿宋" w:eastAsia="仿宋" w:cs="仿宋"/>
              <w:color w:val="auto"/>
              <w:szCs w:val="24"/>
            </w:rPr>
            <w:fldChar w:fldCharType="end"/>
          </w:r>
        </w:p>
        <w:p w14:paraId="6DFC979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_Toc21175 </w:instrText>
          </w:r>
          <w:r>
            <w:rPr>
              <w:rFonts w:hint="eastAsia" w:ascii="仿宋" w:hAnsi="仿宋" w:eastAsia="仿宋" w:cs="仿宋"/>
              <w:szCs w:val="24"/>
            </w:rPr>
            <w:fldChar w:fldCharType="separate"/>
          </w:r>
          <w:r>
            <w:rPr>
              <w:rFonts w:hint="eastAsia" w:ascii="仿宋" w:hAnsi="仿宋" w:eastAsia="仿宋"/>
              <w:bCs/>
              <w:szCs w:val="28"/>
            </w:rPr>
            <w:t>一、投标人应当提供的资格、资质性要求的相关证明材料</w:t>
          </w:r>
          <w:r>
            <w:rPr>
              <w:rFonts w:hint="eastAsia" w:ascii="仿宋" w:hAnsi="仿宋" w:eastAsia="仿宋"/>
              <w:bCs/>
              <w:szCs w:val="28"/>
              <w:lang w:val="en-US" w:eastAsia="zh-CN"/>
            </w:rPr>
            <w:t>（各包相同）</w:t>
          </w:r>
          <w:r>
            <w:tab/>
          </w:r>
          <w:r>
            <w:fldChar w:fldCharType="begin"/>
          </w:r>
          <w:r>
            <w:instrText xml:space="preserve"> PAGEREF _Toc21175 \h </w:instrText>
          </w:r>
          <w:r>
            <w:fldChar w:fldCharType="separate"/>
          </w:r>
          <w:r>
            <w:t>37</w:t>
          </w:r>
          <w:r>
            <w:fldChar w:fldCharType="end"/>
          </w:r>
          <w:r>
            <w:rPr>
              <w:rFonts w:hint="eastAsia" w:ascii="仿宋" w:hAnsi="仿宋" w:eastAsia="仿宋" w:cs="仿宋"/>
              <w:color w:val="auto"/>
              <w:szCs w:val="24"/>
            </w:rPr>
            <w:fldChar w:fldCharType="end"/>
          </w:r>
        </w:p>
        <w:p w14:paraId="3D1C7B3F">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_Toc13950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二、投标人应当提供的其他类似效力证明材料</w:t>
          </w:r>
          <w:r>
            <w:tab/>
          </w:r>
          <w:r>
            <w:fldChar w:fldCharType="begin"/>
          </w:r>
          <w:r>
            <w:instrText xml:space="preserve"> PAGEREF _Toc13950 \h </w:instrText>
          </w:r>
          <w:r>
            <w:fldChar w:fldCharType="separate"/>
          </w:r>
          <w:r>
            <w:t>38</w:t>
          </w:r>
          <w:r>
            <w:fldChar w:fldCharType="end"/>
          </w:r>
          <w:r>
            <w:rPr>
              <w:rFonts w:hint="eastAsia" w:ascii="仿宋" w:hAnsi="仿宋" w:eastAsia="仿宋" w:cs="仿宋"/>
              <w:color w:val="auto"/>
              <w:szCs w:val="24"/>
            </w:rPr>
            <w:fldChar w:fldCharType="end"/>
          </w:r>
        </w:p>
        <w:p w14:paraId="0643E88F">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_Toc31879 </w:instrText>
          </w:r>
          <w:r>
            <w:rPr>
              <w:rFonts w:hint="eastAsia" w:ascii="仿宋" w:hAnsi="仿宋" w:eastAsia="仿宋" w:cs="仿宋"/>
              <w:szCs w:val="24"/>
            </w:rPr>
            <w:fldChar w:fldCharType="separate"/>
          </w:r>
          <w:r>
            <w:rPr>
              <w:rFonts w:hint="eastAsia" w:ascii="仿宋" w:hAnsi="仿宋" w:eastAsia="仿宋" w:cs="Times New Roman"/>
              <w:bCs/>
              <w:szCs w:val="36"/>
            </w:rPr>
            <w:t>第六章  招标项目技术、服务、采购合同内容条款及其他商务要求</w:t>
          </w:r>
          <w:r>
            <w:tab/>
          </w:r>
          <w:r>
            <w:fldChar w:fldCharType="begin"/>
          </w:r>
          <w:r>
            <w:instrText xml:space="preserve"> PAGEREF _Toc31879 \h </w:instrText>
          </w:r>
          <w:r>
            <w:fldChar w:fldCharType="separate"/>
          </w:r>
          <w:r>
            <w:t>39</w:t>
          </w:r>
          <w:r>
            <w:fldChar w:fldCharType="end"/>
          </w:r>
          <w:r>
            <w:rPr>
              <w:rFonts w:hint="eastAsia" w:ascii="仿宋" w:hAnsi="仿宋" w:eastAsia="仿宋" w:cs="仿宋"/>
              <w:color w:val="auto"/>
              <w:szCs w:val="24"/>
            </w:rPr>
            <w:fldChar w:fldCharType="end"/>
          </w:r>
        </w:p>
        <w:p w14:paraId="007DB11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_Toc3330 </w:instrText>
          </w:r>
          <w:r>
            <w:rPr>
              <w:rFonts w:hint="eastAsia" w:ascii="仿宋" w:hAnsi="仿宋" w:eastAsia="仿宋" w:cs="仿宋"/>
              <w:szCs w:val="24"/>
            </w:rPr>
            <w:fldChar w:fldCharType="separate"/>
          </w:r>
          <w:r>
            <w:rPr>
              <w:rFonts w:hint="eastAsia" w:ascii="仿宋" w:hAnsi="仿宋" w:eastAsia="仿宋" w:cs="仿宋"/>
              <w:bCs/>
              <w:highlight w:val="none"/>
              <w:lang w:val="en-US" w:eastAsia="zh-CN"/>
            </w:rPr>
            <w:t>一、项目概述</w:t>
          </w:r>
          <w:r>
            <w:tab/>
          </w:r>
          <w:r>
            <w:fldChar w:fldCharType="begin"/>
          </w:r>
          <w:r>
            <w:instrText xml:space="preserve"> PAGEREF _Toc3330 \h </w:instrText>
          </w:r>
          <w:r>
            <w:fldChar w:fldCharType="separate"/>
          </w:r>
          <w:r>
            <w:t>39</w:t>
          </w:r>
          <w:r>
            <w:fldChar w:fldCharType="end"/>
          </w:r>
          <w:r>
            <w:rPr>
              <w:rFonts w:hint="eastAsia" w:ascii="仿宋" w:hAnsi="仿宋" w:eastAsia="仿宋" w:cs="仿宋"/>
              <w:color w:val="auto"/>
              <w:szCs w:val="24"/>
            </w:rPr>
            <w:fldChar w:fldCharType="end"/>
          </w:r>
        </w:p>
        <w:p w14:paraId="2C121FF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_Toc5942 </w:instrText>
          </w:r>
          <w:r>
            <w:rPr>
              <w:rFonts w:hint="eastAsia" w:ascii="仿宋" w:hAnsi="仿宋" w:eastAsia="仿宋" w:cs="仿宋"/>
              <w:szCs w:val="24"/>
            </w:rPr>
            <w:fldChar w:fldCharType="separate"/>
          </w:r>
          <w:r>
            <w:rPr>
              <w:rFonts w:hint="eastAsia" w:ascii="仿宋" w:hAnsi="仿宋" w:eastAsia="仿宋" w:cs="仿宋"/>
              <w:bCs/>
              <w:lang w:val="en-US" w:eastAsia="zh-CN"/>
            </w:rPr>
            <w:t xml:space="preserve">二、 </w:t>
          </w:r>
          <w:r>
            <w:rPr>
              <w:rFonts w:hint="eastAsia" w:ascii="仿宋" w:hAnsi="仿宋" w:eastAsia="仿宋" w:cs="仿宋"/>
              <w:bCs/>
              <w:highlight w:val="none"/>
              <w:lang w:val="en-US" w:eastAsia="zh-CN"/>
            </w:rPr>
            <w:t>项目清单</w:t>
          </w:r>
          <w:r>
            <w:tab/>
          </w:r>
          <w:r>
            <w:fldChar w:fldCharType="begin"/>
          </w:r>
          <w:r>
            <w:instrText xml:space="preserve"> PAGEREF _Toc5942 \h </w:instrText>
          </w:r>
          <w:r>
            <w:fldChar w:fldCharType="separate"/>
          </w:r>
          <w:r>
            <w:t>39</w:t>
          </w:r>
          <w:r>
            <w:fldChar w:fldCharType="end"/>
          </w:r>
          <w:r>
            <w:rPr>
              <w:rFonts w:hint="eastAsia" w:ascii="仿宋" w:hAnsi="仿宋" w:eastAsia="仿宋" w:cs="仿宋"/>
              <w:color w:val="auto"/>
              <w:szCs w:val="24"/>
            </w:rPr>
            <w:fldChar w:fldCharType="end"/>
          </w:r>
        </w:p>
        <w:p w14:paraId="5FC39F1F">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_Toc3393 </w:instrText>
          </w:r>
          <w:r>
            <w:rPr>
              <w:rFonts w:hint="eastAsia" w:ascii="仿宋" w:hAnsi="仿宋" w:eastAsia="仿宋" w:cs="仿宋"/>
              <w:szCs w:val="24"/>
            </w:rPr>
            <w:fldChar w:fldCharType="separate"/>
          </w:r>
          <w:r>
            <w:rPr>
              <w:rFonts w:hint="eastAsia" w:ascii="仿宋" w:hAnsi="仿宋" w:eastAsia="仿宋" w:cs="仿宋"/>
              <w:bCs/>
              <w:lang w:val="en-US" w:eastAsia="zh-CN"/>
            </w:rPr>
            <w:t xml:space="preserve">三、 </w:t>
          </w:r>
          <w:r>
            <w:rPr>
              <w:rFonts w:hint="eastAsia" w:ascii="仿宋" w:hAnsi="仿宋" w:eastAsia="仿宋" w:cs="仿宋"/>
              <w:bCs/>
              <w:highlight w:val="none"/>
              <w:lang w:val="en-US" w:eastAsia="zh-CN"/>
            </w:rPr>
            <w:t>技术参数要求</w:t>
          </w:r>
          <w:r>
            <w:tab/>
          </w:r>
          <w:r>
            <w:fldChar w:fldCharType="begin"/>
          </w:r>
          <w:r>
            <w:instrText xml:space="preserve"> PAGEREF _Toc3393 \h </w:instrText>
          </w:r>
          <w:r>
            <w:fldChar w:fldCharType="separate"/>
          </w:r>
          <w:r>
            <w:t>40</w:t>
          </w:r>
          <w:r>
            <w:fldChar w:fldCharType="end"/>
          </w:r>
          <w:r>
            <w:rPr>
              <w:rFonts w:hint="eastAsia" w:ascii="仿宋" w:hAnsi="仿宋" w:eastAsia="仿宋" w:cs="仿宋"/>
              <w:color w:val="auto"/>
              <w:szCs w:val="24"/>
            </w:rPr>
            <w:fldChar w:fldCharType="end"/>
          </w:r>
        </w:p>
        <w:p w14:paraId="760FBFF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_Toc4969 </w:instrText>
          </w:r>
          <w:r>
            <w:rPr>
              <w:rFonts w:hint="eastAsia" w:ascii="仿宋" w:hAnsi="仿宋" w:eastAsia="仿宋" w:cs="仿宋"/>
              <w:szCs w:val="24"/>
            </w:rPr>
            <w:fldChar w:fldCharType="separate"/>
          </w:r>
          <w:r>
            <w:rPr>
              <w:rFonts w:hint="eastAsia" w:ascii="仿宋" w:hAnsi="仿宋" w:eastAsia="仿宋" w:cs="仿宋"/>
              <w:bCs/>
              <w:kern w:val="2"/>
              <w:szCs w:val="32"/>
              <w:highlight w:val="none"/>
              <w:lang w:val="en-US" w:eastAsia="zh-CN" w:bidi="ar-SA"/>
            </w:rPr>
            <w:t>★</w:t>
          </w:r>
          <w:r>
            <w:rPr>
              <w:rFonts w:hint="eastAsia" w:ascii="仿宋" w:hAnsi="仿宋" w:eastAsia="仿宋" w:cs="仿宋"/>
              <w:bCs/>
              <w:highlight w:val="none"/>
              <w:lang w:val="en-US" w:eastAsia="zh-CN"/>
            </w:rPr>
            <w:t>四、商务要求（各包相同）</w:t>
          </w:r>
          <w:r>
            <w:tab/>
          </w:r>
          <w:r>
            <w:fldChar w:fldCharType="begin"/>
          </w:r>
          <w:r>
            <w:instrText xml:space="preserve"> PAGEREF _Toc4969 \h </w:instrText>
          </w:r>
          <w:r>
            <w:fldChar w:fldCharType="separate"/>
          </w:r>
          <w:r>
            <w:t>42</w:t>
          </w:r>
          <w:r>
            <w:fldChar w:fldCharType="end"/>
          </w:r>
          <w:r>
            <w:rPr>
              <w:rFonts w:hint="eastAsia" w:ascii="仿宋" w:hAnsi="仿宋" w:eastAsia="仿宋" w:cs="仿宋"/>
              <w:color w:val="auto"/>
              <w:szCs w:val="24"/>
            </w:rPr>
            <w:fldChar w:fldCharType="end"/>
          </w:r>
        </w:p>
        <w:p w14:paraId="6FAA2719">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_Toc7943 </w:instrText>
          </w:r>
          <w:r>
            <w:rPr>
              <w:rFonts w:hint="eastAsia" w:ascii="仿宋" w:hAnsi="仿宋" w:eastAsia="仿宋" w:cs="仿宋"/>
              <w:szCs w:val="24"/>
            </w:rPr>
            <w:fldChar w:fldCharType="separate"/>
          </w:r>
          <w:r>
            <w:rPr>
              <w:rFonts w:hint="eastAsia" w:ascii="仿宋" w:hAnsi="仿宋" w:eastAsia="仿宋" w:cs="Times New Roman"/>
              <w:bCs/>
              <w:szCs w:val="36"/>
            </w:rPr>
            <w:t>第七章  评标办法</w:t>
          </w:r>
          <w:r>
            <w:tab/>
          </w:r>
          <w:r>
            <w:fldChar w:fldCharType="begin"/>
          </w:r>
          <w:r>
            <w:instrText xml:space="preserve"> PAGEREF _Toc7943 \h </w:instrText>
          </w:r>
          <w:r>
            <w:fldChar w:fldCharType="separate"/>
          </w:r>
          <w:r>
            <w:t>45</w:t>
          </w:r>
          <w:r>
            <w:fldChar w:fldCharType="end"/>
          </w:r>
          <w:r>
            <w:rPr>
              <w:rFonts w:hint="eastAsia" w:ascii="仿宋" w:hAnsi="仿宋" w:eastAsia="仿宋" w:cs="仿宋"/>
              <w:color w:val="auto"/>
              <w:szCs w:val="24"/>
            </w:rPr>
            <w:fldChar w:fldCharType="end"/>
          </w:r>
        </w:p>
        <w:p w14:paraId="21B99EE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_Toc23837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一、总则</w:t>
          </w:r>
          <w:r>
            <w:tab/>
          </w:r>
          <w:r>
            <w:fldChar w:fldCharType="begin"/>
          </w:r>
          <w:r>
            <w:instrText xml:space="preserve"> PAGEREF _Toc23837 \h </w:instrText>
          </w:r>
          <w:r>
            <w:fldChar w:fldCharType="separate"/>
          </w:r>
          <w:r>
            <w:t>45</w:t>
          </w:r>
          <w:r>
            <w:fldChar w:fldCharType="end"/>
          </w:r>
          <w:r>
            <w:rPr>
              <w:rFonts w:hint="eastAsia" w:ascii="仿宋" w:hAnsi="仿宋" w:eastAsia="仿宋" w:cs="仿宋"/>
              <w:color w:val="auto"/>
              <w:szCs w:val="24"/>
            </w:rPr>
            <w:fldChar w:fldCharType="end"/>
          </w:r>
        </w:p>
        <w:p w14:paraId="00218CB5">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_Toc3706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二、评标方法</w:t>
          </w:r>
          <w:r>
            <w:tab/>
          </w:r>
          <w:r>
            <w:fldChar w:fldCharType="begin"/>
          </w:r>
          <w:r>
            <w:instrText xml:space="preserve"> PAGEREF _Toc3706 \h </w:instrText>
          </w:r>
          <w:r>
            <w:fldChar w:fldCharType="separate"/>
          </w:r>
          <w:r>
            <w:t>45</w:t>
          </w:r>
          <w:r>
            <w:fldChar w:fldCharType="end"/>
          </w:r>
          <w:r>
            <w:rPr>
              <w:rFonts w:hint="eastAsia" w:ascii="仿宋" w:hAnsi="仿宋" w:eastAsia="仿宋" w:cs="仿宋"/>
              <w:color w:val="auto"/>
              <w:szCs w:val="24"/>
            </w:rPr>
            <w:fldChar w:fldCharType="end"/>
          </w:r>
        </w:p>
        <w:p w14:paraId="359C4DC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_Toc19515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三、评标程序</w:t>
          </w:r>
          <w:r>
            <w:tab/>
          </w:r>
          <w:r>
            <w:fldChar w:fldCharType="begin"/>
          </w:r>
          <w:r>
            <w:instrText xml:space="preserve"> PAGEREF _Toc19515 \h </w:instrText>
          </w:r>
          <w:r>
            <w:fldChar w:fldCharType="separate"/>
          </w:r>
          <w:r>
            <w:t>45</w:t>
          </w:r>
          <w:r>
            <w:fldChar w:fldCharType="end"/>
          </w:r>
          <w:r>
            <w:rPr>
              <w:rFonts w:hint="eastAsia" w:ascii="仿宋" w:hAnsi="仿宋" w:eastAsia="仿宋" w:cs="仿宋"/>
              <w:color w:val="auto"/>
              <w:szCs w:val="24"/>
            </w:rPr>
            <w:fldChar w:fldCharType="end"/>
          </w:r>
        </w:p>
        <w:p w14:paraId="1D1404F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_Toc8031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四、评标细则及标准</w:t>
          </w:r>
          <w:r>
            <w:tab/>
          </w:r>
          <w:r>
            <w:fldChar w:fldCharType="begin"/>
          </w:r>
          <w:r>
            <w:instrText xml:space="preserve"> PAGEREF _Toc8031 \h </w:instrText>
          </w:r>
          <w:r>
            <w:fldChar w:fldCharType="separate"/>
          </w:r>
          <w:r>
            <w:t>50</w:t>
          </w:r>
          <w:r>
            <w:fldChar w:fldCharType="end"/>
          </w:r>
          <w:r>
            <w:rPr>
              <w:rFonts w:hint="eastAsia" w:ascii="仿宋" w:hAnsi="仿宋" w:eastAsia="仿宋" w:cs="仿宋"/>
              <w:color w:val="auto"/>
              <w:szCs w:val="24"/>
            </w:rPr>
            <w:fldChar w:fldCharType="end"/>
          </w:r>
        </w:p>
        <w:p w14:paraId="0B0E84D5">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_Toc15080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五、废 标</w:t>
          </w:r>
          <w:r>
            <w:tab/>
          </w:r>
          <w:r>
            <w:fldChar w:fldCharType="begin"/>
          </w:r>
          <w:r>
            <w:instrText xml:space="preserve"> PAGEREF _Toc15080 \h </w:instrText>
          </w:r>
          <w:r>
            <w:fldChar w:fldCharType="separate"/>
          </w:r>
          <w:r>
            <w:t>51</w:t>
          </w:r>
          <w:r>
            <w:fldChar w:fldCharType="end"/>
          </w:r>
          <w:r>
            <w:rPr>
              <w:rFonts w:hint="eastAsia" w:ascii="仿宋" w:hAnsi="仿宋" w:eastAsia="仿宋" w:cs="仿宋"/>
              <w:color w:val="auto"/>
              <w:szCs w:val="24"/>
            </w:rPr>
            <w:fldChar w:fldCharType="end"/>
          </w:r>
        </w:p>
        <w:p w14:paraId="6D9635A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_Toc15068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六、定标</w:t>
          </w:r>
          <w:r>
            <w:tab/>
          </w:r>
          <w:r>
            <w:fldChar w:fldCharType="begin"/>
          </w:r>
          <w:r>
            <w:instrText xml:space="preserve"> PAGEREF _Toc15068 \h </w:instrText>
          </w:r>
          <w:r>
            <w:fldChar w:fldCharType="separate"/>
          </w:r>
          <w:r>
            <w:t>51</w:t>
          </w:r>
          <w:r>
            <w:fldChar w:fldCharType="end"/>
          </w:r>
          <w:r>
            <w:rPr>
              <w:rFonts w:hint="eastAsia" w:ascii="仿宋" w:hAnsi="仿宋" w:eastAsia="仿宋" w:cs="仿宋"/>
              <w:color w:val="auto"/>
              <w:szCs w:val="24"/>
            </w:rPr>
            <w:fldChar w:fldCharType="end"/>
          </w:r>
        </w:p>
        <w:p w14:paraId="5F7F700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_Toc20227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七、评标专家在采购活动中承担以下义务</w:t>
          </w:r>
          <w:r>
            <w:tab/>
          </w:r>
          <w:r>
            <w:fldChar w:fldCharType="begin"/>
          </w:r>
          <w:r>
            <w:instrText xml:space="preserve"> PAGEREF _Toc20227 \h </w:instrText>
          </w:r>
          <w:r>
            <w:fldChar w:fldCharType="separate"/>
          </w:r>
          <w:r>
            <w:t>52</w:t>
          </w:r>
          <w:r>
            <w:fldChar w:fldCharType="end"/>
          </w:r>
          <w:r>
            <w:rPr>
              <w:rFonts w:hint="eastAsia" w:ascii="仿宋" w:hAnsi="仿宋" w:eastAsia="仿宋" w:cs="仿宋"/>
              <w:color w:val="auto"/>
              <w:szCs w:val="24"/>
            </w:rPr>
            <w:fldChar w:fldCharType="end"/>
          </w:r>
        </w:p>
        <w:p w14:paraId="3358B3F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_Toc29558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八、评标专家在采购活动中应当遵守以下工作纪律</w:t>
          </w:r>
          <w:r>
            <w:tab/>
          </w:r>
          <w:r>
            <w:fldChar w:fldCharType="begin"/>
          </w:r>
          <w:r>
            <w:instrText xml:space="preserve"> PAGEREF _Toc29558 \h </w:instrText>
          </w:r>
          <w:r>
            <w:fldChar w:fldCharType="separate"/>
          </w:r>
          <w:r>
            <w:t>52</w:t>
          </w:r>
          <w:r>
            <w:fldChar w:fldCharType="end"/>
          </w:r>
          <w:r>
            <w:rPr>
              <w:rFonts w:hint="eastAsia" w:ascii="仿宋" w:hAnsi="仿宋" w:eastAsia="仿宋" w:cs="仿宋"/>
              <w:color w:val="auto"/>
              <w:szCs w:val="24"/>
            </w:rPr>
            <w:fldChar w:fldCharType="end"/>
          </w:r>
        </w:p>
        <w:p w14:paraId="6D171652">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_Toc19604 </w:instrText>
          </w:r>
          <w:r>
            <w:rPr>
              <w:rFonts w:hint="eastAsia" w:ascii="仿宋" w:hAnsi="仿宋" w:eastAsia="仿宋" w:cs="仿宋"/>
              <w:szCs w:val="24"/>
            </w:rPr>
            <w:fldChar w:fldCharType="separate"/>
          </w:r>
          <w:r>
            <w:rPr>
              <w:rFonts w:hint="eastAsia" w:ascii="仿宋" w:hAnsi="仿宋" w:eastAsia="仿宋" w:cs="仿宋"/>
              <w:bCs w:val="0"/>
              <w:kern w:val="2"/>
              <w:szCs w:val="36"/>
              <w:highlight w:val="none"/>
              <w:lang w:val="en-US" w:eastAsia="zh-CN" w:bidi="ar-SA"/>
            </w:rPr>
            <w:t>第八章  采购合同</w:t>
          </w:r>
          <w:r>
            <w:tab/>
          </w:r>
          <w:r>
            <w:fldChar w:fldCharType="begin"/>
          </w:r>
          <w:r>
            <w:instrText xml:space="preserve"> PAGEREF _Toc19604 \h </w:instrText>
          </w:r>
          <w:r>
            <w:fldChar w:fldCharType="separate"/>
          </w:r>
          <w:r>
            <w:t>54</w:t>
          </w:r>
          <w:r>
            <w:fldChar w:fldCharType="end"/>
          </w:r>
          <w:r>
            <w:rPr>
              <w:rFonts w:hint="eastAsia" w:ascii="仿宋" w:hAnsi="仿宋" w:eastAsia="仿宋" w:cs="仿宋"/>
              <w:color w:val="auto"/>
              <w:szCs w:val="24"/>
            </w:rPr>
            <w:fldChar w:fldCharType="end"/>
          </w:r>
        </w:p>
        <w:p w14:paraId="53311BDB">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_Toc29257 </w:instrText>
          </w:r>
          <w:r>
            <w:rPr>
              <w:rFonts w:hint="eastAsia" w:ascii="仿宋" w:hAnsi="仿宋" w:eastAsia="仿宋" w:cs="仿宋"/>
              <w:szCs w:val="24"/>
            </w:rPr>
            <w:fldChar w:fldCharType="separate"/>
          </w:r>
          <w:r>
            <w:rPr>
              <w:rFonts w:hint="eastAsia" w:ascii="仿宋" w:hAnsi="仿宋" w:eastAsia="仿宋" w:cs="仿宋"/>
              <w:bCs/>
              <w:szCs w:val="36"/>
              <w:highlight w:val="none"/>
              <w:lang w:val="en-US" w:eastAsia="zh-CN"/>
            </w:rPr>
            <w:t>第九章  附件</w:t>
          </w:r>
          <w:r>
            <w:tab/>
          </w:r>
          <w:r>
            <w:fldChar w:fldCharType="begin"/>
          </w:r>
          <w:r>
            <w:instrText xml:space="preserve"> PAGEREF _Toc29257 \h </w:instrText>
          </w:r>
          <w:r>
            <w:fldChar w:fldCharType="separate"/>
          </w:r>
          <w:r>
            <w:t>59</w:t>
          </w:r>
          <w:r>
            <w:fldChar w:fldCharType="end"/>
          </w:r>
          <w:r>
            <w:rPr>
              <w:rFonts w:hint="eastAsia" w:ascii="仿宋" w:hAnsi="仿宋" w:eastAsia="仿宋" w:cs="仿宋"/>
              <w:color w:val="auto"/>
              <w:szCs w:val="24"/>
            </w:rPr>
            <w:fldChar w:fldCharType="end"/>
          </w:r>
        </w:p>
        <w:p w14:paraId="66C1A32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_Toc8370 </w:instrText>
          </w:r>
          <w:r>
            <w:rPr>
              <w:rFonts w:hint="eastAsia" w:ascii="仿宋" w:hAnsi="仿宋" w:eastAsia="仿宋" w:cs="仿宋"/>
              <w:szCs w:val="24"/>
            </w:rPr>
            <w:fldChar w:fldCharType="separate"/>
          </w:r>
          <w:r>
            <w:rPr>
              <w:rFonts w:hint="eastAsia" w:ascii="仿宋" w:hAnsi="仿宋" w:eastAsia="仿宋" w:cs="仿宋"/>
              <w:bCs/>
              <w:kern w:val="44"/>
              <w:szCs w:val="30"/>
            </w:rPr>
            <w:t>附件</w:t>
          </w:r>
          <w:r>
            <w:rPr>
              <w:rFonts w:hint="eastAsia" w:ascii="仿宋" w:hAnsi="仿宋" w:eastAsia="仿宋" w:cs="仿宋"/>
              <w:bCs/>
              <w:kern w:val="44"/>
              <w:szCs w:val="30"/>
              <w:lang w:val="en-US" w:eastAsia="zh-CN"/>
            </w:rPr>
            <w:t xml:space="preserve">1 </w:t>
          </w:r>
          <w:r>
            <w:rPr>
              <w:rFonts w:hint="eastAsia" w:ascii="仿宋" w:hAnsi="仿宋" w:eastAsia="仿宋" w:cs="仿宋"/>
              <w:bCs/>
              <w:kern w:val="44"/>
              <w:szCs w:val="30"/>
            </w:rPr>
            <w:t xml:space="preserve"> 报名登记表</w:t>
          </w:r>
          <w:r>
            <w:tab/>
          </w:r>
          <w:r>
            <w:fldChar w:fldCharType="begin"/>
          </w:r>
          <w:r>
            <w:instrText xml:space="preserve"> PAGEREF _Toc8370 \h </w:instrText>
          </w:r>
          <w:r>
            <w:fldChar w:fldCharType="separate"/>
          </w:r>
          <w:r>
            <w:t>59</w:t>
          </w:r>
          <w:r>
            <w:fldChar w:fldCharType="end"/>
          </w:r>
          <w:r>
            <w:rPr>
              <w:rFonts w:hint="eastAsia" w:ascii="仿宋" w:hAnsi="仿宋" w:eastAsia="仿宋" w:cs="仿宋"/>
              <w:color w:val="auto"/>
              <w:szCs w:val="24"/>
            </w:rPr>
            <w:fldChar w:fldCharType="end"/>
          </w:r>
        </w:p>
        <w:p w14:paraId="0617A03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_Toc24268 </w:instrText>
          </w:r>
          <w:r>
            <w:rPr>
              <w:rFonts w:hint="eastAsia" w:ascii="仿宋" w:hAnsi="仿宋" w:eastAsia="仿宋" w:cs="仿宋"/>
              <w:szCs w:val="24"/>
            </w:rPr>
            <w:fldChar w:fldCharType="separate"/>
          </w:r>
          <w:r>
            <w:rPr>
              <w:rFonts w:hint="eastAsia" w:ascii="仿宋" w:hAnsi="仿宋" w:eastAsia="仿宋" w:cs="Times New Roman"/>
              <w:bCs/>
              <w:kern w:val="2"/>
              <w:szCs w:val="36"/>
              <w:lang w:val="en-US" w:eastAsia="zh-CN" w:bidi="ar-SA"/>
            </w:rPr>
            <w:t>附件2  医疗设备、耗材廉洁购销协议</w:t>
          </w:r>
          <w:r>
            <w:tab/>
          </w:r>
          <w:r>
            <w:fldChar w:fldCharType="begin"/>
          </w:r>
          <w:r>
            <w:instrText xml:space="preserve"> PAGEREF _Toc24268 \h </w:instrText>
          </w:r>
          <w:r>
            <w:fldChar w:fldCharType="separate"/>
          </w:r>
          <w:r>
            <w:t>60</w:t>
          </w:r>
          <w:r>
            <w:fldChar w:fldCharType="end"/>
          </w:r>
          <w:r>
            <w:rPr>
              <w:rFonts w:hint="eastAsia" w:ascii="仿宋" w:hAnsi="仿宋" w:eastAsia="仿宋" w:cs="仿宋"/>
              <w:color w:val="auto"/>
              <w:szCs w:val="24"/>
            </w:rPr>
            <w:fldChar w:fldCharType="end"/>
          </w:r>
        </w:p>
        <w:p w14:paraId="4C2C0E22">
          <w:pPr>
            <w:pStyle w:val="21"/>
            <w:pageBreakBefore w:val="0"/>
            <w:widowControl w:val="0"/>
            <w:tabs>
              <w:tab w:val="right" w:leader="dot" w:pos="8949"/>
            </w:tabs>
            <w:kinsoku/>
            <w:wordWrap/>
            <w:overflowPunct/>
            <w:topLinePunct w:val="0"/>
            <w:bidi w:val="0"/>
            <w:snapToGrid/>
            <w:spacing w:line="240" w:lineRule="auto"/>
            <w:outlineLvl w:val="9"/>
            <w:rPr>
              <w:rFonts w:ascii="仿宋" w:hAnsi="仿宋" w:eastAsia="仿宋"/>
              <w:color w:val="auto"/>
            </w:rPr>
          </w:pPr>
          <w:r>
            <w:rPr>
              <w:rFonts w:hint="eastAsia" w:ascii="仿宋" w:hAnsi="仿宋" w:eastAsia="仿宋" w:cs="仿宋"/>
              <w:color w:val="auto"/>
              <w:szCs w:val="24"/>
            </w:rPr>
            <w:fldChar w:fldCharType="end"/>
          </w:r>
        </w:p>
      </w:sdtContent>
    </w:sdt>
    <w:p w14:paraId="295C7214">
      <w:pPr>
        <w:pageBreakBefore w:val="0"/>
        <w:widowControl w:val="0"/>
        <w:kinsoku/>
        <w:wordWrap/>
        <w:overflowPunct/>
        <w:topLinePunct w:val="0"/>
        <w:bidi w:val="0"/>
        <w:snapToGrid/>
        <w:spacing w:line="480" w:lineRule="auto"/>
        <w:outlineLvl w:val="9"/>
        <w:rPr>
          <w:rFonts w:ascii="仿宋" w:hAnsi="仿宋" w:eastAsia="仿宋"/>
          <w:color w:val="auto"/>
          <w:sz w:val="28"/>
          <w:szCs w:val="28"/>
        </w:rPr>
        <w:sectPr>
          <w:pgSz w:w="11907" w:h="16840"/>
          <w:pgMar w:top="1440" w:right="1134" w:bottom="1440" w:left="1134" w:header="851" w:footer="992" w:gutter="0"/>
          <w:cols w:space="720" w:num="1"/>
          <w:docGrid w:linePitch="312" w:charSpace="0"/>
        </w:sectPr>
      </w:pPr>
    </w:p>
    <w:p w14:paraId="38F9F17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ascii="仿宋" w:hAnsi="仿宋" w:eastAsia="仿宋"/>
          <w:b/>
          <w:bCs/>
          <w:color w:val="auto"/>
          <w:sz w:val="36"/>
          <w:szCs w:val="36"/>
        </w:rPr>
      </w:pPr>
      <w:bookmarkStart w:id="2" w:name="_Toc79959158"/>
      <w:bookmarkStart w:id="3" w:name="_Toc12072"/>
      <w:bookmarkStart w:id="4" w:name="_Toc28806"/>
      <w:r>
        <w:rPr>
          <w:rFonts w:hint="eastAsia" w:ascii="仿宋" w:hAnsi="仿宋" w:eastAsia="仿宋"/>
          <w:b/>
          <w:bCs/>
          <w:color w:val="auto"/>
          <w:sz w:val="36"/>
          <w:szCs w:val="36"/>
        </w:rPr>
        <w:t>第一章  投标邀请</w:t>
      </w:r>
      <w:bookmarkEnd w:id="0"/>
      <w:bookmarkEnd w:id="1"/>
      <w:bookmarkEnd w:id="2"/>
      <w:bookmarkEnd w:id="3"/>
      <w:bookmarkEnd w:id="4"/>
    </w:p>
    <w:p w14:paraId="67A63AA0">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right="0" w:rightChars="0" w:firstLine="600" w:firstLineChars="250"/>
        <w:textAlignment w:val="auto"/>
        <w:outlineLvl w:val="9"/>
        <w:rPr>
          <w:rFonts w:ascii="仿宋" w:hAnsi="仿宋" w:eastAsia="仿宋" w:cs="宋体"/>
          <w:color w:val="auto"/>
          <w:sz w:val="24"/>
        </w:rPr>
      </w:pPr>
      <w:r>
        <w:rPr>
          <w:rFonts w:hint="eastAsia" w:ascii="仿宋" w:hAnsi="仿宋" w:eastAsia="仿宋" w:cs="宋体"/>
          <w:color w:val="auto"/>
          <w:sz w:val="24"/>
          <w:u w:val="single"/>
          <w:lang w:eastAsia="zh-CN"/>
        </w:rPr>
        <w:t>四川虹采招标代理有限责任公司</w:t>
      </w:r>
      <w:r>
        <w:rPr>
          <w:rFonts w:hint="eastAsia" w:ascii="仿宋" w:hAnsi="仿宋" w:eastAsia="仿宋" w:cs="宋体"/>
          <w:color w:val="auto"/>
          <w:sz w:val="24"/>
        </w:rPr>
        <w:t>受</w:t>
      </w:r>
      <w:r>
        <w:rPr>
          <w:rFonts w:hint="eastAsia" w:ascii="仿宋" w:hAnsi="仿宋" w:eastAsia="仿宋" w:cs="宋体"/>
          <w:color w:val="auto"/>
          <w:sz w:val="24"/>
          <w:u w:val="single"/>
          <w:lang w:val="en-US" w:eastAsia="zh-CN"/>
        </w:rPr>
        <w:t>富顺县中医医院</w:t>
      </w:r>
      <w:r>
        <w:rPr>
          <w:rFonts w:hint="eastAsia" w:ascii="仿宋" w:hAnsi="仿宋" w:eastAsia="仿宋" w:cs="宋体"/>
          <w:color w:val="auto"/>
          <w:sz w:val="24"/>
        </w:rPr>
        <w:t>委托，拟对</w:t>
      </w:r>
      <w:bookmarkStart w:id="5" w:name="PO_默认文件内容_4"/>
      <w:r>
        <w:rPr>
          <w:rFonts w:hint="eastAsia" w:ascii="仿宋" w:hAnsi="仿宋" w:eastAsia="仿宋" w:cs="宋体"/>
          <w:color w:val="auto"/>
          <w:sz w:val="24"/>
          <w:u w:val="single"/>
          <w:lang w:val="en-US" w:eastAsia="zh-CN"/>
        </w:rPr>
        <w:t>富顺县中医医院2025年第五批医疗耗材采购项目（第二次）</w:t>
      </w:r>
      <w:r>
        <w:rPr>
          <w:rFonts w:hint="eastAsia" w:ascii="仿宋" w:hAnsi="仿宋" w:eastAsia="仿宋" w:cs="宋体"/>
          <w:color w:val="auto"/>
          <w:sz w:val="24"/>
        </w:rPr>
        <w:t>进行国内公开招标，兹邀请符合本次招标要求的</w:t>
      </w:r>
      <w:r>
        <w:rPr>
          <w:rFonts w:hint="eastAsia" w:ascii="仿宋" w:hAnsi="仿宋" w:eastAsia="仿宋" w:cs="宋体"/>
          <w:color w:val="auto"/>
          <w:sz w:val="24"/>
          <w:lang w:eastAsia="zh-CN"/>
        </w:rPr>
        <w:t>投标人</w:t>
      </w:r>
      <w:r>
        <w:rPr>
          <w:rFonts w:hint="eastAsia" w:ascii="仿宋" w:hAnsi="仿宋" w:eastAsia="仿宋" w:cs="宋体"/>
          <w:color w:val="auto"/>
          <w:sz w:val="24"/>
        </w:rPr>
        <w:t>参加投标。</w:t>
      </w:r>
      <w:bookmarkEnd w:id="5"/>
    </w:p>
    <w:p w14:paraId="085FAA4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lang w:val="en-US" w:eastAsia="zh-CN"/>
        </w:rPr>
      </w:pPr>
      <w:r>
        <w:rPr>
          <w:rFonts w:hint="eastAsia" w:ascii="仿宋" w:hAnsi="仿宋" w:eastAsia="仿宋"/>
          <w:b/>
          <w:color w:val="auto"/>
          <w:sz w:val="24"/>
        </w:rPr>
        <w:t>一、招标编号：SCHC202504245</w:t>
      </w:r>
    </w:p>
    <w:p w14:paraId="141F04B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szCs w:val="32"/>
          <w:lang w:val="en-US" w:eastAsia="zh-CN"/>
        </w:rPr>
      </w:pPr>
      <w:r>
        <w:rPr>
          <w:rFonts w:hint="eastAsia" w:ascii="仿宋" w:hAnsi="仿宋" w:eastAsia="仿宋"/>
          <w:b/>
          <w:bCs/>
          <w:color w:val="auto"/>
          <w:sz w:val="24"/>
        </w:rPr>
        <w:t>二、</w:t>
      </w:r>
      <w:r>
        <w:rPr>
          <w:rFonts w:hint="eastAsia" w:ascii="仿宋" w:hAnsi="仿宋" w:eastAsia="仿宋"/>
          <w:b/>
          <w:color w:val="auto"/>
          <w:sz w:val="24"/>
        </w:rPr>
        <w:t>招标项目：</w:t>
      </w:r>
      <w:r>
        <w:rPr>
          <w:rFonts w:hint="eastAsia" w:ascii="仿宋" w:hAnsi="仿宋" w:eastAsia="仿宋"/>
          <w:b/>
          <w:color w:val="auto"/>
          <w:sz w:val="24"/>
          <w:lang w:val="en-US" w:eastAsia="zh-CN"/>
        </w:rPr>
        <w:t>富顺县中医医院2025年第五批医疗耗材采购项目（第二次）</w:t>
      </w:r>
    </w:p>
    <w:p w14:paraId="2C5FBC6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bCs/>
          <w:color w:val="auto"/>
          <w:sz w:val="24"/>
          <w:lang w:val="en-US" w:eastAsia="zh-CN"/>
        </w:rPr>
      </w:pPr>
      <w:r>
        <w:rPr>
          <w:rFonts w:hint="eastAsia" w:ascii="仿宋" w:hAnsi="仿宋" w:eastAsia="仿宋"/>
          <w:b/>
          <w:color w:val="auto"/>
          <w:sz w:val="24"/>
          <w:szCs w:val="28"/>
        </w:rPr>
        <w:t>三、资金来源：</w:t>
      </w:r>
      <w:r>
        <w:rPr>
          <w:rFonts w:hint="eastAsia" w:ascii="仿宋" w:hAnsi="仿宋" w:eastAsia="仿宋"/>
          <w:b/>
          <w:bCs/>
          <w:color w:val="auto"/>
          <w:sz w:val="24"/>
          <w:lang w:val="en-US" w:eastAsia="zh-CN"/>
        </w:rPr>
        <w:t>自筹资金</w:t>
      </w:r>
      <w:bookmarkStart w:id="486" w:name="_GoBack"/>
      <w:bookmarkEnd w:id="486"/>
    </w:p>
    <w:p w14:paraId="48DDB2E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olor w:val="auto"/>
          <w:sz w:val="24"/>
        </w:rPr>
      </w:pPr>
      <w:r>
        <w:rPr>
          <w:rFonts w:hint="eastAsia" w:ascii="仿宋" w:hAnsi="仿宋" w:eastAsia="仿宋"/>
          <w:b/>
          <w:color w:val="auto"/>
          <w:sz w:val="24"/>
        </w:rPr>
        <w:t>四</w:t>
      </w:r>
      <w:r>
        <w:rPr>
          <w:rFonts w:hint="eastAsia" w:ascii="仿宋" w:hAnsi="仿宋" w:eastAsia="仿宋"/>
          <w:b/>
          <w:bCs/>
          <w:color w:val="auto"/>
          <w:sz w:val="24"/>
        </w:rPr>
        <w:t>、</w:t>
      </w:r>
      <w:r>
        <w:rPr>
          <w:rFonts w:hint="eastAsia" w:ascii="仿宋" w:hAnsi="仿宋" w:eastAsia="仿宋"/>
          <w:b/>
          <w:color w:val="auto"/>
          <w:sz w:val="24"/>
        </w:rPr>
        <w:t>招标项目简介：</w:t>
      </w:r>
    </w:p>
    <w:p w14:paraId="5014ADF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64" w:firstLineChars="200"/>
        <w:textAlignment w:val="auto"/>
        <w:outlineLvl w:val="9"/>
        <w:rPr>
          <w:rFonts w:hint="eastAsia" w:ascii="仿宋" w:hAnsi="仿宋" w:eastAsia="仿宋" w:cs="仿宋"/>
          <w:color w:val="auto"/>
          <w:sz w:val="24"/>
        </w:rPr>
      </w:pPr>
      <w:bookmarkStart w:id="6" w:name="PO_默认文件内容_3"/>
      <w:r>
        <w:rPr>
          <w:rFonts w:hint="eastAsia" w:ascii="仿宋" w:hAnsi="仿宋" w:eastAsia="仿宋"/>
          <w:color w:val="auto"/>
          <w:spacing w:val="-4"/>
          <w:sz w:val="24"/>
          <w:lang w:val="en-US" w:eastAsia="zh-CN"/>
        </w:rPr>
        <w:t>本项目共2个包，第一包：心内科类，第二包：肿瘤科类。包含配送及售后服务等。</w:t>
      </w:r>
      <w:r>
        <w:rPr>
          <w:rFonts w:hint="eastAsia" w:ascii="仿宋" w:hAnsi="仿宋" w:eastAsia="仿宋" w:cs="仿宋"/>
          <w:color w:val="auto"/>
          <w:sz w:val="24"/>
        </w:rPr>
        <w:t>（具体详见招标文件第六章）</w:t>
      </w:r>
      <w:bookmarkEnd w:id="6"/>
    </w:p>
    <w:p w14:paraId="125D0566">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投标人</w:t>
      </w:r>
      <w:r>
        <w:rPr>
          <w:rFonts w:hint="eastAsia" w:ascii="仿宋" w:hAnsi="仿宋" w:eastAsia="仿宋" w:cs="仿宋"/>
          <w:b/>
          <w:bCs/>
          <w:color w:val="auto"/>
          <w:sz w:val="24"/>
          <w:szCs w:val="24"/>
          <w:highlight w:val="none"/>
        </w:rPr>
        <w:t>邀请方式</w:t>
      </w:r>
      <w:r>
        <w:rPr>
          <w:rFonts w:hint="eastAsia" w:ascii="仿宋" w:hAnsi="仿宋" w:eastAsia="仿宋" w:cs="仿宋"/>
          <w:b/>
          <w:bCs/>
          <w:color w:val="auto"/>
          <w:sz w:val="24"/>
          <w:szCs w:val="24"/>
          <w:highlight w:val="none"/>
          <w:lang w:eastAsia="zh-CN"/>
        </w:rPr>
        <w:t>：</w:t>
      </w:r>
    </w:p>
    <w:p w14:paraId="1D20131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公告方式：本次</w:t>
      </w:r>
      <w:r>
        <w:rPr>
          <w:rFonts w:hint="eastAsia" w:ascii="仿宋" w:hAnsi="仿宋" w:eastAsia="仿宋" w:cs="仿宋"/>
          <w:bCs/>
          <w:color w:val="auto"/>
          <w:sz w:val="24"/>
          <w:szCs w:val="24"/>
          <w:highlight w:val="none"/>
          <w:lang w:eastAsia="zh-CN"/>
        </w:rPr>
        <w:t>招标</w:t>
      </w:r>
      <w:r>
        <w:rPr>
          <w:rFonts w:hint="eastAsia" w:ascii="仿宋" w:hAnsi="仿宋" w:eastAsia="仿宋" w:cs="仿宋"/>
          <w:bCs/>
          <w:color w:val="auto"/>
          <w:sz w:val="24"/>
          <w:szCs w:val="24"/>
          <w:highlight w:val="none"/>
        </w:rPr>
        <w:t>邀请</w:t>
      </w:r>
      <w:r>
        <w:rPr>
          <w:rFonts w:hint="eastAsia" w:ascii="仿宋" w:hAnsi="仿宋" w:eastAsia="仿宋" w:cs="仿宋"/>
          <w:bCs/>
          <w:color w:val="auto"/>
          <w:sz w:val="24"/>
          <w:szCs w:val="24"/>
          <w:highlight w:val="none"/>
          <w:lang w:eastAsia="zh-CN"/>
        </w:rPr>
        <w:t>在采购招标信息服务平台</w:t>
      </w:r>
      <w:r>
        <w:rPr>
          <w:rFonts w:hint="eastAsia" w:ascii="仿宋_GB2312" w:hAnsi="仿宋_GB2312" w:eastAsia="仿宋_GB2312" w:cs="仿宋_GB2312"/>
          <w:color w:val="auto"/>
          <w:sz w:val="24"/>
          <w:highlight w:val="none"/>
          <w:lang w:eastAsia="zh-CN"/>
        </w:rPr>
        <w:t>（http://www.sccgpt.com）、富顺县中医医院官网（http://www.fsxzyyy.com/）</w:t>
      </w:r>
      <w:r>
        <w:rPr>
          <w:rFonts w:hint="eastAsia" w:ascii="仿宋" w:hAnsi="仿宋" w:eastAsia="仿宋" w:cs="仿宋"/>
          <w:bCs/>
          <w:color w:val="auto"/>
          <w:sz w:val="24"/>
          <w:szCs w:val="24"/>
        </w:rPr>
        <w:t>上以公告形式发布。</w:t>
      </w:r>
    </w:p>
    <w:p w14:paraId="029F257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Times New Roman"/>
          <w:b/>
          <w:bCs w:val="0"/>
          <w:color w:val="auto"/>
          <w:sz w:val="24"/>
          <w:szCs w:val="32"/>
          <w:lang w:val="en-US" w:eastAsia="zh-CN"/>
        </w:rPr>
      </w:pPr>
      <w:r>
        <w:rPr>
          <w:rFonts w:hint="eastAsia" w:ascii="仿宋" w:hAnsi="仿宋" w:eastAsia="仿宋" w:cs="Times New Roman"/>
          <w:b/>
          <w:bCs w:val="0"/>
          <w:color w:val="auto"/>
          <w:sz w:val="24"/>
          <w:szCs w:val="32"/>
          <w:lang w:val="en-US" w:eastAsia="zh-CN"/>
        </w:rPr>
        <w:t>六</w:t>
      </w:r>
      <w:r>
        <w:rPr>
          <w:rFonts w:hint="eastAsia" w:ascii="仿宋" w:hAnsi="仿宋" w:eastAsia="仿宋" w:cs="Times New Roman"/>
          <w:b/>
          <w:bCs w:val="0"/>
          <w:color w:val="auto"/>
          <w:sz w:val="24"/>
          <w:szCs w:val="32"/>
        </w:rPr>
        <w:t>、</w:t>
      </w:r>
      <w:bookmarkStart w:id="7" w:name="PO_供应商资格条件_1"/>
      <w:r>
        <w:rPr>
          <w:rFonts w:hint="eastAsia" w:ascii="仿宋" w:hAnsi="仿宋" w:eastAsia="仿宋" w:cs="Times New Roman"/>
          <w:b/>
          <w:bCs w:val="0"/>
          <w:color w:val="auto"/>
          <w:sz w:val="24"/>
          <w:szCs w:val="32"/>
          <w:lang w:val="en-US" w:eastAsia="zh-CN"/>
        </w:rPr>
        <w:t>投标人</w:t>
      </w:r>
      <w:r>
        <w:rPr>
          <w:rFonts w:hint="eastAsia" w:ascii="仿宋" w:hAnsi="仿宋" w:eastAsia="仿宋" w:cs="仿宋"/>
          <w:b/>
          <w:bCs/>
          <w:color w:val="auto"/>
          <w:sz w:val="24"/>
          <w:szCs w:val="24"/>
          <w:highlight w:val="none"/>
        </w:rPr>
        <w:t>参加本次采购活动应具备下列条件</w:t>
      </w:r>
      <w:r>
        <w:rPr>
          <w:rFonts w:hint="eastAsia" w:ascii="仿宋" w:hAnsi="仿宋" w:eastAsia="仿宋" w:cs="仿宋"/>
          <w:b/>
          <w:bCs/>
          <w:color w:val="auto"/>
          <w:sz w:val="24"/>
          <w:szCs w:val="24"/>
          <w:highlight w:val="none"/>
          <w:lang w:eastAsia="zh-CN"/>
        </w:rPr>
        <w:t>：</w:t>
      </w:r>
    </w:p>
    <w:bookmarkEnd w:id="7"/>
    <w:p w14:paraId="5F47D835">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Times New Roman"/>
          <w:bCs/>
          <w:color w:val="auto"/>
          <w:sz w:val="24"/>
          <w:szCs w:val="32"/>
          <w:lang w:val="en-US" w:eastAsia="zh-CN"/>
        </w:rPr>
      </w:pPr>
      <w:r>
        <w:rPr>
          <w:rFonts w:hint="eastAsia" w:ascii="仿宋" w:hAnsi="仿宋" w:eastAsia="仿宋" w:cs="Times New Roman"/>
          <w:bCs/>
          <w:color w:val="auto"/>
          <w:sz w:val="24"/>
          <w:szCs w:val="32"/>
          <w:lang w:val="en-US" w:eastAsia="zh-CN"/>
        </w:rPr>
        <w:t>详见招标文件第四章。</w:t>
      </w:r>
    </w:p>
    <w:p w14:paraId="196ABE7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b/>
          <w:color w:val="auto"/>
          <w:sz w:val="24"/>
        </w:rPr>
      </w:pPr>
      <w:r>
        <w:rPr>
          <w:rFonts w:hint="eastAsia" w:ascii="仿宋" w:hAnsi="仿宋" w:eastAsia="仿宋"/>
          <w:b/>
          <w:color w:val="auto"/>
          <w:sz w:val="24"/>
          <w:lang w:eastAsia="zh-CN"/>
        </w:rPr>
        <w:t>七</w:t>
      </w:r>
      <w:r>
        <w:rPr>
          <w:rFonts w:hint="eastAsia" w:ascii="仿宋" w:hAnsi="仿宋" w:eastAsia="仿宋"/>
          <w:b/>
          <w:color w:val="auto"/>
          <w:sz w:val="24"/>
        </w:rPr>
        <w:t>、招标文件获取时间、地点：</w:t>
      </w:r>
    </w:p>
    <w:p w14:paraId="455B5D10">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招标文件自</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06</w:t>
      </w:r>
      <w:r>
        <w:rPr>
          <w:rFonts w:hint="eastAsia" w:ascii="仿宋" w:hAnsi="仿宋" w:eastAsia="仿宋" w:cs="仿宋"/>
          <w:color w:val="auto"/>
          <w:sz w:val="24"/>
        </w:rPr>
        <w:t>月</w:t>
      </w:r>
      <w:r>
        <w:rPr>
          <w:rFonts w:hint="eastAsia" w:ascii="仿宋" w:hAnsi="仿宋" w:eastAsia="仿宋" w:cs="仿宋"/>
          <w:color w:val="auto"/>
          <w:sz w:val="24"/>
          <w:lang w:val="en-US" w:eastAsia="zh-CN"/>
        </w:rPr>
        <w:t>26</w:t>
      </w:r>
      <w:r>
        <w:rPr>
          <w:rFonts w:hint="eastAsia" w:ascii="仿宋" w:hAnsi="仿宋" w:eastAsia="仿宋" w:cs="仿宋"/>
          <w:color w:val="auto"/>
          <w:sz w:val="24"/>
        </w:rPr>
        <w:t>日09:00至</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07</w:t>
      </w:r>
      <w:r>
        <w:rPr>
          <w:rFonts w:hint="eastAsia" w:ascii="仿宋" w:hAnsi="仿宋" w:eastAsia="仿宋" w:cs="仿宋"/>
          <w:color w:val="auto"/>
          <w:sz w:val="24"/>
        </w:rPr>
        <w:t>月</w:t>
      </w:r>
      <w:r>
        <w:rPr>
          <w:rFonts w:hint="eastAsia" w:ascii="仿宋" w:hAnsi="仿宋" w:eastAsia="仿宋" w:cs="仿宋"/>
          <w:color w:val="auto"/>
          <w:sz w:val="24"/>
          <w:lang w:val="en-US" w:eastAsia="zh-CN"/>
        </w:rPr>
        <w:t>02</w:t>
      </w:r>
      <w:r>
        <w:rPr>
          <w:rFonts w:hint="eastAsia" w:ascii="仿宋" w:hAnsi="仿宋" w:eastAsia="仿宋" w:cs="仿宋"/>
          <w:color w:val="auto"/>
          <w:sz w:val="24"/>
        </w:rPr>
        <w:t>日17:00（北京时间，法定节假日除外）现场或者远程获取。</w:t>
      </w:r>
    </w:p>
    <w:p w14:paraId="05C38E6B">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本项目招标文件</w:t>
      </w:r>
      <w:r>
        <w:rPr>
          <w:rFonts w:hint="eastAsia" w:ascii="仿宋" w:hAnsi="仿宋" w:eastAsia="仿宋" w:cs="仿宋"/>
          <w:color w:val="auto"/>
          <w:sz w:val="24"/>
          <w:lang w:val="en-US" w:eastAsia="zh-CN"/>
        </w:rPr>
        <w:t>无</w:t>
      </w:r>
      <w:r>
        <w:rPr>
          <w:rFonts w:hint="eastAsia" w:ascii="仿宋" w:hAnsi="仿宋" w:eastAsia="仿宋" w:cs="仿宋"/>
          <w:color w:val="auto"/>
          <w:sz w:val="24"/>
        </w:rPr>
        <w:t>偿获取</w:t>
      </w:r>
      <w:r>
        <w:rPr>
          <w:rFonts w:hint="eastAsia" w:ascii="仿宋" w:hAnsi="仿宋" w:eastAsia="仿宋" w:cs="仿宋"/>
          <w:color w:val="auto"/>
          <w:sz w:val="24"/>
          <w:lang w:eastAsia="zh-CN"/>
        </w:rPr>
        <w:t>。</w:t>
      </w:r>
    </w:p>
    <w:p w14:paraId="5E32BE54">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在</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sz w:val="24"/>
          <w:lang w:val="en-US" w:eastAsia="zh-CN"/>
        </w:rPr>
        <w:t>现场报名或者以电子邮件方式报名。</w:t>
      </w:r>
    </w:p>
    <w:p w14:paraId="684C02F2">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电子邮件联系方式：请将报名资料（第十章附件1《报名登记表》）电子版传至schc12345678@163.com，联系电话：0813-8300999。</w:t>
      </w:r>
    </w:p>
    <w:p w14:paraId="322541AF">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现场获取地址：</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7E9B5FB">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b/>
          <w:color w:val="auto"/>
          <w:sz w:val="24"/>
        </w:rPr>
      </w:pPr>
      <w:r>
        <w:rPr>
          <w:rFonts w:hint="eastAsia" w:ascii="仿宋" w:hAnsi="仿宋" w:eastAsia="仿宋" w:cs="仿宋"/>
          <w:color w:val="auto"/>
          <w:sz w:val="24"/>
        </w:rPr>
        <w:t>招标文件提供后不退，投标资格不能转让。</w:t>
      </w:r>
    </w:p>
    <w:p w14:paraId="63C16949">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s="仿宋"/>
          <w:color w:val="auto"/>
          <w:sz w:val="24"/>
        </w:rPr>
      </w:pPr>
      <w:r>
        <w:rPr>
          <w:rFonts w:hint="eastAsia" w:ascii="仿宋" w:hAnsi="仿宋" w:eastAsia="仿宋" w:cs="仿宋"/>
          <w:b/>
          <w:color w:val="auto"/>
          <w:sz w:val="24"/>
        </w:rPr>
        <w:t>八、递交投标文件截止时间</w:t>
      </w:r>
      <w:r>
        <w:rPr>
          <w:rFonts w:hint="eastAsia" w:ascii="仿宋" w:hAnsi="仿宋" w:eastAsia="仿宋" w:cs="仿宋"/>
          <w:b/>
          <w:color w:val="auto"/>
          <w:sz w:val="24"/>
          <w:lang w:eastAsia="zh-CN"/>
        </w:rPr>
        <w:t>及投标文件开启时间</w:t>
      </w:r>
      <w:r>
        <w:rPr>
          <w:rFonts w:hint="eastAsia" w:ascii="仿宋" w:hAnsi="仿宋" w:eastAsia="仿宋" w:cs="仿宋"/>
          <w:b/>
          <w:color w:val="auto"/>
          <w:sz w:val="24"/>
        </w:rPr>
        <w:t>：</w:t>
      </w:r>
      <w:r>
        <w:rPr>
          <w:rFonts w:hint="eastAsia" w:ascii="仿宋" w:hAnsi="仿宋" w:eastAsia="仿宋" w:cs="仿宋"/>
          <w:bCs/>
          <w:color w:val="auto"/>
          <w:sz w:val="24"/>
          <w:lang w:val="en-US" w:eastAsia="zh-CN"/>
        </w:rPr>
        <w:t>2025</w:t>
      </w:r>
      <w:r>
        <w:rPr>
          <w:rFonts w:hint="eastAsia" w:ascii="仿宋" w:hAnsi="仿宋" w:eastAsia="仿宋" w:cs="仿宋"/>
          <w:bCs/>
          <w:color w:val="auto"/>
          <w:sz w:val="24"/>
        </w:rPr>
        <w:t>年</w:t>
      </w:r>
      <w:r>
        <w:rPr>
          <w:rFonts w:hint="eastAsia" w:ascii="仿宋" w:hAnsi="仿宋" w:eastAsia="仿宋" w:cs="仿宋"/>
          <w:bCs/>
          <w:color w:val="auto"/>
          <w:sz w:val="24"/>
          <w:lang w:val="en-US" w:eastAsia="zh-CN"/>
        </w:rPr>
        <w:t>07</w:t>
      </w:r>
      <w:r>
        <w:rPr>
          <w:rFonts w:hint="eastAsia" w:ascii="仿宋" w:hAnsi="仿宋" w:eastAsia="仿宋" w:cs="仿宋"/>
          <w:bCs/>
          <w:color w:val="auto"/>
          <w:sz w:val="24"/>
        </w:rPr>
        <w:t>月</w:t>
      </w: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日</w:t>
      </w:r>
      <w:r>
        <w:rPr>
          <w:rFonts w:hint="eastAsia" w:ascii="仿宋" w:hAnsi="仿宋" w:eastAsia="仿宋" w:cs="仿宋"/>
          <w:bCs/>
          <w:color w:val="auto"/>
          <w:sz w:val="24"/>
          <w:lang w:val="en-US" w:eastAsia="zh-CN"/>
        </w:rPr>
        <w:t>10</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00</w:t>
      </w:r>
      <w:r>
        <w:rPr>
          <w:rFonts w:hint="eastAsia" w:ascii="仿宋" w:hAnsi="仿宋" w:eastAsia="仿宋" w:cs="仿宋"/>
          <w:color w:val="auto"/>
          <w:sz w:val="24"/>
        </w:rPr>
        <w:t>（北京时间）。</w:t>
      </w:r>
    </w:p>
    <w:p w14:paraId="40A1790A">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b/>
          <w:color w:val="auto"/>
          <w:sz w:val="24"/>
          <w:lang w:eastAsia="zh-CN"/>
        </w:rPr>
        <w:t>九</w:t>
      </w:r>
      <w:r>
        <w:rPr>
          <w:rFonts w:hint="eastAsia" w:ascii="仿宋" w:hAnsi="仿宋" w:eastAsia="仿宋" w:cs="仿宋"/>
          <w:b/>
          <w:color w:val="auto"/>
          <w:sz w:val="24"/>
        </w:rPr>
        <w:t>、递交投标文件地点</w:t>
      </w:r>
      <w:r>
        <w:rPr>
          <w:rFonts w:hint="eastAsia" w:ascii="仿宋" w:hAnsi="仿宋" w:eastAsia="仿宋" w:cs="仿宋"/>
          <w:b/>
          <w:color w:val="auto"/>
          <w:sz w:val="24"/>
          <w:lang w:eastAsia="zh-CN"/>
        </w:rPr>
        <w:t>及开标地点</w:t>
      </w:r>
      <w:r>
        <w:rPr>
          <w:rFonts w:hint="eastAsia" w:ascii="仿宋" w:hAnsi="仿宋" w:eastAsia="仿宋" w:cs="仿宋"/>
          <w:b/>
          <w:color w:val="auto"/>
          <w:sz w:val="24"/>
        </w:rPr>
        <w:t>：</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046B8F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color w:val="auto"/>
          <w:sz w:val="24"/>
        </w:rPr>
      </w:pPr>
      <w:r>
        <w:rPr>
          <w:rFonts w:hint="eastAsia" w:ascii="仿宋" w:hAnsi="仿宋" w:eastAsia="仿宋" w:cs="仿宋"/>
          <w:color w:val="auto"/>
          <w:sz w:val="24"/>
        </w:rPr>
        <w:t>投标文件必须在递交投标文件截止时间前送达开标地点。逾期送达、未密封的投标文件，</w:t>
      </w:r>
      <w:r>
        <w:rPr>
          <w:rFonts w:hint="eastAsia" w:ascii="仿宋" w:hAnsi="仿宋" w:eastAsia="仿宋" w:cs="仿宋"/>
          <w:color w:val="auto"/>
          <w:sz w:val="24"/>
          <w:lang w:eastAsia="zh-CN"/>
        </w:rPr>
        <w:t>招标代理机构</w:t>
      </w:r>
      <w:r>
        <w:rPr>
          <w:rFonts w:hint="eastAsia" w:ascii="仿宋" w:hAnsi="仿宋" w:eastAsia="仿宋" w:cs="仿宋"/>
          <w:color w:val="auto"/>
          <w:sz w:val="24"/>
        </w:rPr>
        <w:t>恕不接收。</w:t>
      </w: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不接收邮寄的</w:t>
      </w:r>
      <w:r>
        <w:rPr>
          <w:rFonts w:hint="eastAsia" w:ascii="仿宋" w:hAnsi="仿宋" w:eastAsia="仿宋" w:cs="仿宋"/>
          <w:color w:val="auto"/>
          <w:sz w:val="24"/>
          <w:szCs w:val="24"/>
          <w:highlight w:val="none"/>
          <w:lang w:eastAsia="zh-CN"/>
        </w:rPr>
        <w:t>投标文件。</w:t>
      </w:r>
    </w:p>
    <w:p w14:paraId="39F65C1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firstLine="482"/>
        <w:textAlignment w:val="auto"/>
        <w:outlineLvl w:val="9"/>
        <w:rPr>
          <w:rFonts w:hint="eastAsia" w:ascii="仿宋" w:hAnsi="仿宋" w:cs="Times New Roman"/>
          <w:b/>
          <w:color w:val="auto"/>
          <w:lang w:eastAsia="zh-CN"/>
        </w:rPr>
      </w:pPr>
      <w:r>
        <w:rPr>
          <w:rFonts w:hint="eastAsia" w:ascii="仿宋" w:hAnsi="仿宋" w:cs="Times New Roman"/>
          <w:b/>
          <w:color w:val="auto"/>
        </w:rPr>
        <w:t>十、联系方式</w:t>
      </w:r>
      <w:r>
        <w:rPr>
          <w:rFonts w:hint="eastAsia" w:ascii="仿宋" w:hAnsi="仿宋" w:cs="Times New Roman"/>
          <w:b/>
          <w:color w:val="auto"/>
          <w:lang w:eastAsia="zh-CN"/>
        </w:rPr>
        <w:t>：</w:t>
      </w:r>
    </w:p>
    <w:p w14:paraId="30F7E1C0">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招标人：富顺县中医医院</w:t>
      </w:r>
    </w:p>
    <w:p w14:paraId="7066F7E1">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地  址：富顺县东湖大道1801号</w:t>
      </w:r>
    </w:p>
    <w:p w14:paraId="74D40D09">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联系人：</w:t>
      </w:r>
      <w:r>
        <w:rPr>
          <w:rFonts w:hint="eastAsia" w:ascii="仿宋" w:hAnsi="仿宋"/>
          <w:b w:val="0"/>
          <w:bCs/>
          <w:color w:val="auto"/>
          <w:lang w:val="en-US" w:eastAsia="zh-CN"/>
        </w:rPr>
        <w:t>聂老师</w:t>
      </w:r>
    </w:p>
    <w:p w14:paraId="35E468A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电  话：0813-5197655</w:t>
      </w:r>
    </w:p>
    <w:p w14:paraId="1258A2BF">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bookmarkStart w:id="8" w:name="_Toc12497"/>
      <w:bookmarkStart w:id="9" w:name="_Toc12420"/>
      <w:bookmarkStart w:id="10" w:name="_Toc213496267"/>
      <w:bookmarkStart w:id="11" w:name="_Toc213397009"/>
      <w:bookmarkStart w:id="12" w:name="_Toc213396759"/>
      <w:bookmarkStart w:id="13" w:name="_Toc217446031"/>
      <w:bookmarkStart w:id="14" w:name="_Toc213396945"/>
      <w:r>
        <w:rPr>
          <w:rFonts w:hint="eastAsia" w:ascii="仿宋" w:hAnsi="仿宋" w:cs="Times New Roman"/>
          <w:b w:val="0"/>
          <w:bCs/>
          <w:color w:val="auto"/>
          <w:lang w:val="en-US" w:eastAsia="zh-CN"/>
        </w:rPr>
        <w:t>招标</w:t>
      </w:r>
      <w:r>
        <w:rPr>
          <w:rFonts w:hint="eastAsia" w:ascii="仿宋" w:hAnsi="仿宋" w:eastAsia="仿宋" w:cs="Times New Roman"/>
          <w:b w:val="0"/>
          <w:bCs/>
          <w:color w:val="auto"/>
          <w:lang w:val="en-US" w:eastAsia="zh-CN"/>
        </w:rPr>
        <w:t>代理机构：四川虹采招标代理有限责任公司</w:t>
      </w:r>
    </w:p>
    <w:p w14:paraId="72E96A1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地 址：自贡市自流井区普润产业博览城A5区四楼4-2号</w:t>
      </w:r>
    </w:p>
    <w:p w14:paraId="1957B75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联系人：</w:t>
      </w:r>
      <w:r>
        <w:rPr>
          <w:rFonts w:hint="eastAsia" w:ascii="仿宋" w:hAnsi="仿宋" w:cs="Times New Roman"/>
          <w:b w:val="0"/>
          <w:bCs/>
          <w:color w:val="auto"/>
          <w:lang w:val="en-US" w:eastAsia="zh-CN"/>
        </w:rPr>
        <w:t>黄先生</w:t>
      </w:r>
    </w:p>
    <w:p w14:paraId="43959783">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电  话：0813-5500607</w:t>
      </w:r>
    </w:p>
    <w:p w14:paraId="41F7F24E">
      <w:pPr>
        <w:pageBreakBefore w:val="0"/>
        <w:widowControl w:val="0"/>
        <w:kinsoku/>
        <w:wordWrap/>
        <w:overflowPunct/>
        <w:topLinePunct w:val="0"/>
        <w:bidi w:val="0"/>
        <w:snapToGrid/>
        <w:spacing w:after="0" w:line="240" w:lineRule="auto"/>
        <w:jc w:val="left"/>
        <w:outlineLvl w:val="9"/>
        <w:rPr>
          <w:rFonts w:ascii="仿宋" w:hAnsi="仿宋" w:eastAsia="仿宋"/>
          <w:b/>
          <w:bCs/>
          <w:color w:val="auto"/>
          <w:kern w:val="44"/>
          <w:sz w:val="36"/>
          <w:szCs w:val="36"/>
        </w:rPr>
      </w:pPr>
      <w:r>
        <w:rPr>
          <w:rFonts w:ascii="仿宋" w:hAnsi="仿宋" w:eastAsia="仿宋"/>
          <w:color w:val="auto"/>
          <w:sz w:val="36"/>
          <w:szCs w:val="36"/>
        </w:rPr>
        <w:br w:type="page"/>
      </w:r>
    </w:p>
    <w:p w14:paraId="669131E5">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5" w:name="_Toc32303"/>
      <w:bookmarkStart w:id="16" w:name="_Toc79959159"/>
      <w:bookmarkStart w:id="17" w:name="_Toc20695"/>
      <w:r>
        <w:rPr>
          <w:rFonts w:hint="eastAsia" w:ascii="仿宋" w:hAnsi="仿宋" w:eastAsia="仿宋" w:cs="Times New Roman"/>
          <w:b/>
          <w:bCs/>
          <w:color w:val="auto"/>
          <w:sz w:val="36"/>
          <w:szCs w:val="36"/>
        </w:rPr>
        <w:t>第二章  投标人须知</w:t>
      </w:r>
      <w:bookmarkEnd w:id="8"/>
      <w:bookmarkEnd w:id="9"/>
      <w:bookmarkEnd w:id="15"/>
      <w:bookmarkEnd w:id="16"/>
      <w:bookmarkEnd w:id="17"/>
    </w:p>
    <w:p w14:paraId="124B4F66">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8" w:name="_Toc3795"/>
      <w:bookmarkStart w:id="19" w:name="_Toc79959160"/>
      <w:bookmarkStart w:id="20" w:name="_Toc20515"/>
      <w:r>
        <w:rPr>
          <w:rFonts w:hint="eastAsia" w:ascii="仿宋" w:hAnsi="仿宋" w:eastAsia="仿宋" w:cs="仿宋"/>
          <w:b/>
          <w:bCs/>
          <w:color w:val="auto"/>
          <w:highlight w:val="none"/>
        </w:rPr>
        <w:t>一、投标人须知附表</w:t>
      </w:r>
      <w:bookmarkEnd w:id="18"/>
      <w:bookmarkEnd w:id="19"/>
      <w:bookmarkEnd w:id="20"/>
    </w:p>
    <w:tbl>
      <w:tblPr>
        <w:tblStyle w:val="32"/>
        <w:tblW w:w="9626"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0" w:type="dxa"/>
          <w:bottom w:w="0" w:type="dxa"/>
          <w:right w:w="0" w:type="dxa"/>
        </w:tblCellMar>
      </w:tblPr>
      <w:tblGrid>
        <w:gridCol w:w="725"/>
        <w:gridCol w:w="1907"/>
        <w:gridCol w:w="6994"/>
      </w:tblGrid>
      <w:tr w14:paraId="5FB7E1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545" w:hRule="atLeast"/>
          <w:tblHeader/>
          <w:jc w:val="center"/>
        </w:trPr>
        <w:tc>
          <w:tcPr>
            <w:tcW w:w="725" w:type="dxa"/>
            <w:tcBorders>
              <w:tl2br w:val="nil"/>
              <w:tr2bl w:val="nil"/>
            </w:tcBorders>
            <w:shd w:val="clear" w:color="auto" w:fill="D7D7D7"/>
            <w:noWrap w:val="0"/>
            <w:vAlign w:val="center"/>
          </w:tcPr>
          <w:p w14:paraId="60CD4E8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序号 </w:t>
            </w:r>
          </w:p>
        </w:tc>
        <w:tc>
          <w:tcPr>
            <w:tcW w:w="1907" w:type="dxa"/>
            <w:tcBorders>
              <w:tl2br w:val="nil"/>
              <w:tr2bl w:val="nil"/>
            </w:tcBorders>
            <w:shd w:val="clear" w:color="auto" w:fill="D7D7D7"/>
            <w:noWrap w:val="0"/>
            <w:vAlign w:val="center"/>
          </w:tcPr>
          <w:p w14:paraId="72F91A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应知事项 </w:t>
            </w:r>
          </w:p>
        </w:tc>
        <w:tc>
          <w:tcPr>
            <w:tcW w:w="6994" w:type="dxa"/>
            <w:tcBorders>
              <w:tl2br w:val="nil"/>
              <w:tr2bl w:val="nil"/>
            </w:tcBorders>
            <w:shd w:val="clear" w:color="auto" w:fill="D7D7D7"/>
            <w:noWrap w:val="0"/>
            <w:vAlign w:val="center"/>
          </w:tcPr>
          <w:p w14:paraId="5B0B7248">
            <w:pPr>
              <w:pStyle w:val="50"/>
              <w:keepNext w:val="0"/>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说明和要求</w:t>
            </w:r>
          </w:p>
        </w:tc>
      </w:tr>
      <w:tr w14:paraId="17DAA7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3675BDF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1</w:t>
            </w:r>
          </w:p>
        </w:tc>
        <w:tc>
          <w:tcPr>
            <w:tcW w:w="1907" w:type="dxa"/>
            <w:tcBorders>
              <w:tl2br w:val="nil"/>
              <w:tr2bl w:val="nil"/>
            </w:tcBorders>
            <w:noWrap w:val="0"/>
            <w:vAlign w:val="center"/>
          </w:tcPr>
          <w:p w14:paraId="118C908F">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14:paraId="4C3DC3E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top"/>
          </w:tcPr>
          <w:p w14:paraId="32D1A93E">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第1包采购预算：</w:t>
            </w:r>
            <w:r>
              <w:rPr>
                <w:rFonts w:hint="eastAsia" w:ascii="仿宋" w:hAnsi="仿宋" w:eastAsia="仿宋"/>
                <w:color w:val="auto"/>
                <w:sz w:val="24"/>
                <w:szCs w:val="24"/>
                <w:lang w:val="en-US" w:eastAsia="zh-CN"/>
              </w:rPr>
              <w:t>63,530.00</w:t>
            </w:r>
            <w:r>
              <w:rPr>
                <w:rFonts w:hint="eastAsia" w:ascii="仿宋" w:hAnsi="仿宋" w:eastAsia="仿宋"/>
                <w:color w:val="auto"/>
                <w:sz w:val="24"/>
                <w:szCs w:val="24"/>
                <w:lang w:val="zh-CN" w:eastAsia="zh-CN"/>
              </w:rPr>
              <w:t>元（</w:t>
            </w:r>
            <w:r>
              <w:rPr>
                <w:rFonts w:hint="eastAsia" w:ascii="仿宋" w:hAnsi="仿宋" w:eastAsia="仿宋"/>
                <w:color w:val="auto"/>
                <w:sz w:val="24"/>
                <w:szCs w:val="24"/>
                <w:lang w:val="en-US" w:eastAsia="zh-CN"/>
              </w:rPr>
              <w:t>陆万叁仟伍佰叁拾元整</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zh-CN"/>
              </w:rPr>
              <w:t>；</w:t>
            </w:r>
          </w:p>
          <w:p w14:paraId="4F5BA73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第2包采购预算：</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427C7B7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zh-CN"/>
              </w:rPr>
              <w:t>超过采购预算的报价无效。</w:t>
            </w:r>
          </w:p>
        </w:tc>
      </w:tr>
      <w:tr w14:paraId="1C85F6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6F27608A">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2</w:t>
            </w:r>
          </w:p>
        </w:tc>
        <w:tc>
          <w:tcPr>
            <w:tcW w:w="1907" w:type="dxa"/>
            <w:tcBorders>
              <w:tl2br w:val="nil"/>
              <w:tr2bl w:val="nil"/>
            </w:tcBorders>
            <w:noWrap w:val="0"/>
            <w:vAlign w:val="center"/>
          </w:tcPr>
          <w:p w14:paraId="44EE82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最高限价</w:t>
            </w:r>
          </w:p>
          <w:p w14:paraId="4F7655B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2465F187">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第1包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en-US" w:eastAsia="zh-CN"/>
              </w:rPr>
              <w:t>63,530.00</w:t>
            </w:r>
            <w:r>
              <w:rPr>
                <w:rFonts w:hint="eastAsia" w:ascii="仿宋" w:hAnsi="仿宋" w:eastAsia="仿宋"/>
                <w:color w:val="auto"/>
                <w:sz w:val="24"/>
                <w:szCs w:val="24"/>
                <w:lang w:val="zh-CN" w:eastAsia="zh-CN"/>
              </w:rPr>
              <w:t>元（</w:t>
            </w:r>
            <w:r>
              <w:rPr>
                <w:rFonts w:hint="eastAsia" w:ascii="仿宋" w:hAnsi="仿宋" w:eastAsia="仿宋"/>
                <w:color w:val="auto"/>
                <w:sz w:val="24"/>
                <w:szCs w:val="24"/>
                <w:lang w:val="en-US" w:eastAsia="zh-CN"/>
              </w:rPr>
              <w:t>陆万叁仟伍佰叁拾元整</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zh-CN"/>
              </w:rPr>
              <w:t>；</w:t>
            </w:r>
          </w:p>
          <w:p w14:paraId="05A0DF5D">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055C3A6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超过最高限价的报价无效。</w:t>
            </w:r>
          </w:p>
        </w:tc>
      </w:tr>
      <w:tr w14:paraId="7774B9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6A1C396">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3</w:t>
            </w:r>
          </w:p>
        </w:tc>
        <w:tc>
          <w:tcPr>
            <w:tcW w:w="1907" w:type="dxa"/>
            <w:tcBorders>
              <w:tl2br w:val="nil"/>
              <w:tr2bl w:val="nil"/>
            </w:tcBorders>
            <w:noWrap w:val="0"/>
            <w:vAlign w:val="center"/>
          </w:tcPr>
          <w:p w14:paraId="489D78B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是否允许联合体</w:t>
            </w:r>
          </w:p>
        </w:tc>
        <w:tc>
          <w:tcPr>
            <w:tcW w:w="6994" w:type="dxa"/>
            <w:tcBorders>
              <w:tl2br w:val="nil"/>
              <w:tr2bl w:val="nil"/>
            </w:tcBorders>
            <w:noWrap w:val="0"/>
            <w:vAlign w:val="center"/>
          </w:tcPr>
          <w:p w14:paraId="039FB7A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val="0"/>
                <w:bCs w:val="0"/>
                <w:color w:val="auto"/>
                <w:sz w:val="24"/>
                <w:szCs w:val="24"/>
                <w:highlight w:val="none"/>
                <w:lang w:val="en-US" w:eastAsia="zh-CN"/>
              </w:rPr>
              <w:t>不允许</w:t>
            </w:r>
          </w:p>
        </w:tc>
      </w:tr>
      <w:tr w14:paraId="6511D1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AFD82A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1907" w:type="dxa"/>
            <w:tcBorders>
              <w:tl2br w:val="nil"/>
              <w:tr2bl w:val="nil"/>
            </w:tcBorders>
            <w:noWrap w:val="0"/>
            <w:vAlign w:val="center"/>
          </w:tcPr>
          <w:p w14:paraId="50BDC799">
            <w:pPr>
              <w:pStyle w:val="50"/>
              <w:keepNext w:val="0"/>
              <w:keepLines w:val="0"/>
              <w:pageBreakBefore w:val="0"/>
              <w:widowControl w:val="0"/>
              <w:kinsoku/>
              <w:wordWrap/>
              <w:overflowPunct/>
              <w:topLinePunct w:val="0"/>
              <w:bidi w:val="0"/>
              <w:snapToGrid/>
              <w:spacing w:line="240" w:lineRule="auto"/>
              <w:ind w:left="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rPr>
              <w:t>低于成本价不正当竞争预防措施</w:t>
            </w:r>
          </w:p>
        </w:tc>
        <w:tc>
          <w:tcPr>
            <w:tcW w:w="6994" w:type="dxa"/>
            <w:tcBorders>
              <w:tl2br w:val="nil"/>
              <w:tr2bl w:val="nil"/>
            </w:tcBorders>
            <w:noWrap w:val="0"/>
            <w:vAlign w:val="center"/>
          </w:tcPr>
          <w:p w14:paraId="0277408A">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val="zh-CN"/>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w:t>
            </w:r>
          </w:p>
          <w:p w14:paraId="28E5807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书面说明应当按照国家财务会计制度的规定要求，逐项就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提供的货物、工程和服务的主营业务成本（应根据</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企业类型予以区别）、税金及附加、销售费用、管理费用、财务费用等成本构成事项详细陈述。</w:t>
            </w:r>
          </w:p>
          <w:p w14:paraId="446B0D2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书面说明应当签字确认或者加盖公章，否则无效。书面说明的签字确认，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为法人的，由其法定代表人或者代理人签字确认；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为其他组织的，由其单位负责人或者代理人签字确认；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为自然人的，由其本人或者代理人签字确认。</w:t>
            </w:r>
          </w:p>
          <w:p w14:paraId="1E34BFD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提供书面说明后，评标委员会应当结合采购项目采购需求、专业实际情况、</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财务状况报告、与其他</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比较情况等就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书面说明进行审查评价。</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拒绝或者变相拒绝提供有效书面说明或者书面说明不能证明其报价合理性的，评标委员会应当将其投标文件作为无效处理。</w:t>
            </w:r>
          </w:p>
        </w:tc>
      </w:tr>
      <w:tr w14:paraId="784149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A16B90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907" w:type="dxa"/>
            <w:tcBorders>
              <w:tl2br w:val="nil"/>
              <w:tr2bl w:val="nil"/>
            </w:tcBorders>
            <w:noWrap w:val="0"/>
            <w:vAlign w:val="center"/>
          </w:tcPr>
          <w:p w14:paraId="7C4A7754">
            <w:pPr>
              <w:pStyle w:val="50"/>
              <w:keepNext w:val="0"/>
              <w:keepLines w:val="0"/>
              <w:pageBreakBefore w:val="0"/>
              <w:widowControl w:val="0"/>
              <w:kinsoku/>
              <w:wordWrap/>
              <w:overflowPunct/>
              <w:topLinePunct w:val="0"/>
              <w:bidi w:val="0"/>
              <w:snapToGrid/>
              <w:spacing w:line="240" w:lineRule="auto"/>
              <w:ind w:left="0" w:leftChars="0"/>
              <w:jc w:val="center"/>
              <w:textAlignment w:val="auto"/>
              <w:rPr>
                <w:rFonts w:hint="eastAsia" w:ascii="仿宋" w:hAnsi="仿宋" w:eastAsia="仿宋" w:cs="仿宋"/>
                <w:color w:val="auto"/>
                <w:sz w:val="24"/>
                <w:szCs w:val="24"/>
                <w:highlight w:val="none"/>
                <w:lang w:val="zh-CN" w:eastAsia="zh-CN" w:bidi="ar-SA"/>
              </w:rPr>
            </w:pPr>
            <w:r>
              <w:rPr>
                <w:rFonts w:hint="eastAsia" w:ascii="仿宋" w:hAnsi="仿宋" w:eastAsia="仿宋" w:cs="仿宋"/>
                <w:color w:val="auto"/>
                <w:sz w:val="24"/>
                <w:szCs w:val="24"/>
                <w:highlight w:val="none"/>
                <w:lang w:val="zh-CN" w:eastAsia="zh-CN"/>
              </w:rPr>
              <w:t>投标</w:t>
            </w:r>
            <w:r>
              <w:rPr>
                <w:rFonts w:hint="eastAsia" w:ascii="仿宋" w:hAnsi="仿宋" w:eastAsia="仿宋" w:cs="仿宋"/>
                <w:color w:val="auto"/>
                <w:sz w:val="24"/>
                <w:szCs w:val="24"/>
                <w:highlight w:val="none"/>
                <w:lang w:val="zh-CN"/>
              </w:rPr>
              <w:t>保证金</w:t>
            </w:r>
          </w:p>
        </w:tc>
        <w:tc>
          <w:tcPr>
            <w:tcW w:w="6994" w:type="dxa"/>
            <w:tcBorders>
              <w:tl2br w:val="nil"/>
              <w:tr2bl w:val="nil"/>
            </w:tcBorders>
            <w:noWrap w:val="0"/>
            <w:vAlign w:val="center"/>
          </w:tcPr>
          <w:p w14:paraId="518E71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lang w:val="zh-CN"/>
              </w:rPr>
              <w:t>本项目</w:t>
            </w:r>
            <w:r>
              <w:rPr>
                <w:rFonts w:hint="eastAsia" w:ascii="仿宋" w:hAnsi="仿宋" w:eastAsia="仿宋" w:cs="仿宋"/>
                <w:b/>
                <w:bCs/>
                <w:color w:val="auto"/>
                <w:lang w:val="zh-CN"/>
              </w:rPr>
              <w:t>不收取</w:t>
            </w:r>
            <w:r>
              <w:rPr>
                <w:rFonts w:hint="eastAsia" w:ascii="仿宋" w:hAnsi="仿宋" w:eastAsia="仿宋" w:cs="仿宋"/>
                <w:color w:val="auto"/>
                <w:lang w:val="en-US" w:eastAsia="zh-CN"/>
              </w:rPr>
              <w:t>投标</w:t>
            </w:r>
            <w:r>
              <w:rPr>
                <w:rFonts w:hint="eastAsia" w:ascii="仿宋" w:hAnsi="仿宋" w:eastAsia="仿宋" w:cs="仿宋"/>
                <w:color w:val="auto"/>
                <w:lang w:val="zh-CN"/>
              </w:rPr>
              <w:t>保证金。</w:t>
            </w:r>
          </w:p>
        </w:tc>
      </w:tr>
      <w:tr w14:paraId="1434EB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2C9F47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1907" w:type="dxa"/>
            <w:tcBorders>
              <w:tl2br w:val="nil"/>
              <w:tr2bl w:val="nil"/>
            </w:tcBorders>
            <w:noWrap w:val="0"/>
            <w:vAlign w:val="center"/>
          </w:tcPr>
          <w:p w14:paraId="3D1742CC">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olor w:val="auto"/>
                <w:sz w:val="24"/>
                <w:szCs w:val="24"/>
              </w:rPr>
            </w:pPr>
            <w:r>
              <w:rPr>
                <w:rFonts w:hint="eastAsia" w:ascii="仿宋" w:hAnsi="仿宋" w:eastAsia="仿宋"/>
                <w:color w:val="auto"/>
                <w:sz w:val="24"/>
                <w:szCs w:val="24"/>
              </w:rPr>
              <w:t>履约保证金</w:t>
            </w:r>
          </w:p>
          <w:p w14:paraId="6C5A3A72">
            <w:pPr>
              <w:pStyle w:val="13"/>
              <w:rPr>
                <w:rFonts w:hint="eastAsia"/>
                <w:color w:val="auto"/>
                <w:lang w:val="zh-CN" w:eastAsia="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0B399E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金额：中标金额的1%。</w:t>
            </w:r>
          </w:p>
          <w:p w14:paraId="61AE900A">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交款方式：☑支票/汇票/本票☑保函/保险向招标人缴纳。</w:t>
            </w:r>
          </w:p>
          <w:p w14:paraId="5C8592B1">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收款单位：富顺县中医医院</w:t>
            </w:r>
          </w:p>
          <w:p w14:paraId="3DF4C5BD">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开 户 行：四川富顺农村商业银行股份有限公司营业部</w:t>
            </w:r>
          </w:p>
          <w:p w14:paraId="3EF29E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银行账号：11820120000037316</w:t>
            </w:r>
          </w:p>
          <w:p w14:paraId="278C7772">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交款时间：中标通知书发放后，采购合同签订前。</w:t>
            </w:r>
          </w:p>
          <w:p w14:paraId="04E3B933">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退还履约金流程：履约保证金退还：耗材供货后6个月，货物无任何质量问题且中标人履行了售后服务义务，招标人凭中标人提供的退还履约保证金申请无息退还履约保证金。</w:t>
            </w:r>
          </w:p>
          <w:p w14:paraId="07BA7EC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履约保证金不予退还情形：未按合同履约不退还。采用非保函形式缴纳的履约保证金在 15 个工作日内无息返还，采用保函形式缴纳的履约保证金在担保有效期后，担保责任终止。</w:t>
            </w:r>
          </w:p>
          <w:p w14:paraId="363BEFD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递交和退还保函原件时乙方须到甲方现场提供以下证明材料：</w:t>
            </w:r>
          </w:p>
          <w:p w14:paraId="070F3F26">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①法定代表人授权委托书原件；②委托代理人身份证复印件。</w:t>
            </w:r>
          </w:p>
        </w:tc>
      </w:tr>
      <w:tr w14:paraId="24BA32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0383E2E">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1907" w:type="dxa"/>
            <w:tcBorders>
              <w:tl2br w:val="nil"/>
              <w:tr2bl w:val="nil"/>
            </w:tcBorders>
            <w:noWrap w:val="0"/>
            <w:vAlign w:val="center"/>
          </w:tcPr>
          <w:p w14:paraId="29D6A7D6">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b w:val="0"/>
                <w:bCs w:val="0"/>
                <w:color w:val="auto"/>
                <w:kern w:val="2"/>
                <w:sz w:val="24"/>
                <w:szCs w:val="24"/>
                <w:lang w:eastAsia="zh-CN"/>
              </w:rPr>
              <w:t>招标</w:t>
            </w:r>
            <w:r>
              <w:rPr>
                <w:rFonts w:hint="eastAsia" w:ascii="仿宋" w:hAnsi="仿宋" w:eastAsia="仿宋" w:cs="Times New Roman"/>
                <w:b w:val="0"/>
                <w:bCs w:val="0"/>
                <w:color w:val="auto"/>
                <w:kern w:val="2"/>
                <w:sz w:val="24"/>
                <w:szCs w:val="24"/>
              </w:rPr>
              <w:t>文件咨询</w:t>
            </w:r>
          </w:p>
        </w:tc>
        <w:tc>
          <w:tcPr>
            <w:tcW w:w="6994" w:type="dxa"/>
            <w:tcBorders>
              <w:tl2br w:val="nil"/>
              <w:tr2bl w:val="nil"/>
            </w:tcBorders>
            <w:noWrap w:val="0"/>
            <w:vAlign w:val="center"/>
          </w:tcPr>
          <w:p w14:paraId="1A3BE94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6C2C5B3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DED8B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BB9183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1907" w:type="dxa"/>
            <w:tcBorders>
              <w:tl2br w:val="nil"/>
              <w:tr2bl w:val="nil"/>
            </w:tcBorders>
            <w:noWrap w:val="0"/>
            <w:vAlign w:val="center"/>
          </w:tcPr>
          <w:p w14:paraId="24B080EC">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招标过程、结果</w:t>
            </w:r>
          </w:p>
          <w:p w14:paraId="4C0E6D4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val="zh-CN"/>
              </w:rPr>
              <w:t>工作咨询</w:t>
            </w:r>
          </w:p>
        </w:tc>
        <w:tc>
          <w:tcPr>
            <w:tcW w:w="6994" w:type="dxa"/>
            <w:tcBorders>
              <w:tl2br w:val="nil"/>
              <w:tr2bl w:val="nil"/>
            </w:tcBorders>
            <w:noWrap w:val="0"/>
            <w:vAlign w:val="center"/>
          </w:tcPr>
          <w:p w14:paraId="5F4B183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7E1423B2">
            <w:pPr>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outlineLvl w:val="9"/>
              <w:rPr>
                <w:rFonts w:hint="eastAsia" w:ascii="仿宋" w:hAnsi="仿宋" w:eastAsia="仿宋" w:cs="宋体"/>
                <w:color w:val="auto"/>
                <w:kern w:val="0"/>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3F73B1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616445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1907" w:type="dxa"/>
            <w:tcBorders>
              <w:tl2br w:val="nil"/>
              <w:tr2bl w:val="nil"/>
            </w:tcBorders>
            <w:noWrap w:val="0"/>
            <w:vAlign w:val="center"/>
          </w:tcPr>
          <w:p w14:paraId="7619A851">
            <w:pPr>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olor w:val="auto"/>
                <w:sz w:val="24"/>
                <w:szCs w:val="24"/>
              </w:rPr>
              <w:t>中标通知书领取</w:t>
            </w:r>
          </w:p>
        </w:tc>
        <w:tc>
          <w:tcPr>
            <w:tcW w:w="6994" w:type="dxa"/>
            <w:tcBorders>
              <w:tl2br w:val="nil"/>
              <w:tr2bl w:val="nil"/>
            </w:tcBorders>
            <w:noWrap w:val="0"/>
            <w:vAlign w:val="top"/>
          </w:tcPr>
          <w:p w14:paraId="458ECB7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招标结果公告在</w:t>
            </w:r>
            <w:r>
              <w:rPr>
                <w:rFonts w:hint="eastAsia" w:ascii="仿宋" w:hAnsi="仿宋" w:eastAsia="仿宋" w:cs="仿宋"/>
                <w:bCs/>
                <w:color w:val="auto"/>
              </w:rPr>
              <w:t>采购招标信息服务平台（http://www.sccgpt.com）</w:t>
            </w:r>
            <w:r>
              <w:rPr>
                <w:rFonts w:hint="eastAsia" w:ascii="仿宋" w:hAnsi="仿宋" w:eastAsia="仿宋" w:cs="仿宋"/>
                <w:bCs/>
                <w:color w:val="auto"/>
                <w:lang w:eastAsia="zh-CN"/>
              </w:rPr>
              <w:t>、富顺县中医医院官网（http://www.fsxzyyy.com/）</w:t>
            </w:r>
            <w:r>
              <w:rPr>
                <w:rFonts w:hint="eastAsia" w:ascii="仿宋" w:hAnsi="仿宋" w:eastAsia="仿宋"/>
                <w:color w:val="auto"/>
                <w:sz w:val="24"/>
                <w:szCs w:val="24"/>
              </w:rPr>
              <w:t>发布后，请中标人凭有效身份证明证件到</w:t>
            </w:r>
            <w:r>
              <w:rPr>
                <w:rFonts w:hint="eastAsia" w:ascii="仿宋" w:hAnsi="仿宋" w:eastAsia="仿宋" w:cs="仿宋"/>
                <w:color w:val="auto"/>
                <w:sz w:val="24"/>
                <w:szCs w:val="24"/>
                <w:highlight w:val="none"/>
                <w:lang w:val="zh-CN" w:eastAsia="zh-CN"/>
              </w:rPr>
              <w:t>领取地址</w:t>
            </w:r>
            <w:r>
              <w:rPr>
                <w:rFonts w:hint="eastAsia" w:ascii="仿宋" w:hAnsi="仿宋" w:eastAsia="仿宋" w:cs="仿宋"/>
                <w:color w:val="auto"/>
                <w:sz w:val="24"/>
                <w:szCs w:val="24"/>
                <w:highlight w:val="none"/>
                <w:lang w:val="zh-CN"/>
              </w:rPr>
              <w:t>领取中标通知书。</w:t>
            </w:r>
          </w:p>
          <w:p w14:paraId="15628B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联系电话：0813-8300999</w:t>
            </w:r>
          </w:p>
          <w:p w14:paraId="716EA4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领取地址：自贡市自流井区普润产业博览城A5区四楼4-2号</w:t>
            </w:r>
          </w:p>
        </w:tc>
      </w:tr>
      <w:tr w14:paraId="2E8017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7D7D86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1907" w:type="dxa"/>
            <w:tcBorders>
              <w:tl2br w:val="nil"/>
              <w:tr2bl w:val="nil"/>
            </w:tcBorders>
            <w:noWrap w:val="0"/>
            <w:vAlign w:val="center"/>
          </w:tcPr>
          <w:p w14:paraId="6AC5E2D7">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color w:val="auto"/>
                <w:kern w:val="2"/>
                <w:sz w:val="24"/>
                <w:szCs w:val="24"/>
                <w:lang w:eastAsia="zh-CN"/>
              </w:rPr>
              <w:t>投标人</w:t>
            </w:r>
            <w:r>
              <w:rPr>
                <w:rFonts w:hint="eastAsia" w:ascii="仿宋" w:hAnsi="仿宋" w:eastAsia="仿宋" w:cs="Times New Roman"/>
                <w:color w:val="auto"/>
                <w:kern w:val="2"/>
                <w:sz w:val="24"/>
                <w:szCs w:val="24"/>
              </w:rPr>
              <w:t>询问</w:t>
            </w:r>
          </w:p>
        </w:tc>
        <w:tc>
          <w:tcPr>
            <w:tcW w:w="6994" w:type="dxa"/>
            <w:tcBorders>
              <w:tl2br w:val="nil"/>
              <w:tr2bl w:val="nil"/>
            </w:tcBorders>
            <w:noWrap w:val="0"/>
            <w:vAlign w:val="center"/>
          </w:tcPr>
          <w:p w14:paraId="7E68D4B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根据委托代理协议约定，投标人询问由</w:t>
            </w:r>
            <w:r>
              <w:rPr>
                <w:rFonts w:hint="eastAsia" w:ascii="仿宋" w:hAnsi="仿宋" w:eastAsia="仿宋"/>
                <w:color w:val="auto"/>
                <w:sz w:val="24"/>
                <w:szCs w:val="24"/>
                <w:lang w:eastAsia="zh-CN"/>
              </w:rPr>
              <w:t>四川虹采招标代理有限责任公司</w:t>
            </w:r>
            <w:r>
              <w:rPr>
                <w:rFonts w:hint="eastAsia" w:ascii="仿宋" w:hAnsi="仿宋" w:eastAsia="仿宋"/>
                <w:color w:val="auto"/>
                <w:sz w:val="24"/>
                <w:szCs w:val="24"/>
              </w:rPr>
              <w:t>负责答复。</w:t>
            </w:r>
          </w:p>
          <w:p w14:paraId="066FB97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3CB0C8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763B8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A65F1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1907" w:type="dxa"/>
            <w:tcBorders>
              <w:tl2br w:val="nil"/>
              <w:tr2bl w:val="nil"/>
            </w:tcBorders>
            <w:noWrap w:val="0"/>
            <w:vAlign w:val="center"/>
          </w:tcPr>
          <w:p w14:paraId="3FFA706F">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代理服务费</w:t>
            </w:r>
          </w:p>
        </w:tc>
        <w:tc>
          <w:tcPr>
            <w:tcW w:w="6994" w:type="dxa"/>
            <w:tcBorders>
              <w:tl2br w:val="nil"/>
              <w:tr2bl w:val="nil"/>
            </w:tcBorders>
            <w:noWrap w:val="0"/>
            <w:vAlign w:val="center"/>
          </w:tcPr>
          <w:p w14:paraId="30ECE0B5">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en-US" w:eastAsia="zh-CN"/>
              </w:rPr>
              <w:t xml:space="preserve"> </w:t>
            </w:r>
            <w:r>
              <w:rPr>
                <w:rFonts w:hint="eastAsia" w:ascii="仿宋" w:hAnsi="仿宋" w:eastAsia="仿宋" w:cs="仿宋"/>
                <w:color w:val="auto"/>
                <w:sz w:val="24"/>
                <w:szCs w:val="24"/>
                <w:highlight w:val="none"/>
                <w:lang w:val="zh-CN"/>
              </w:rPr>
              <w:t>1、代理服务费收费金额：</w:t>
            </w:r>
          </w:p>
          <w:p w14:paraId="5946051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第一包：以中标金额作为计算基数，按差额定率累进法进行计算，并参照国家发改委【2011】534号文件规定执行，计算后下浮 30%，代理费不足3000.00元的按3000.00元收取。超过30000.00按 30000.00收取。</w:t>
            </w:r>
          </w:p>
          <w:p w14:paraId="35AC3ABC">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第二包：以中标金额作为计算基数，按差额定率累进法进行计算，并参照国家发改委【2011】534号文件规定执行，计算后下浮 30%，代理费不足3000.00元的按3000.00元收取。超过 30000.00按 30000.00收取。</w:t>
            </w:r>
          </w:p>
          <w:p w14:paraId="2BCEF3F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2、收款账号：</w:t>
            </w:r>
          </w:p>
          <w:p w14:paraId="6084E6C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名称：四川虹采招标代理有限责任公司</w:t>
            </w:r>
          </w:p>
          <w:p w14:paraId="3D42F834">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开户行：四川银行股份有限公司成都高新支行</w:t>
            </w:r>
          </w:p>
          <w:p w14:paraId="50C555DB">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账号：7822 0100 0392 67783</w:t>
            </w:r>
          </w:p>
          <w:p w14:paraId="0AB784BE">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（转账时请备注项目名称或项目编号代理服务费）</w:t>
            </w:r>
          </w:p>
          <w:p w14:paraId="4673ADA0">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3、代理服务费开票流程：</w:t>
            </w:r>
          </w:p>
          <w:p w14:paraId="7A2C0EC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sz w:val="24"/>
                <w:szCs w:val="24"/>
                <w:highlight w:val="none"/>
                <w:lang w:val="zh-CN"/>
              </w:rPr>
              <w:t>中标人若须开具代理服务费发票的请将以下信息发至schc12345678@163.com邮箱中：项目名称、项目编号、开票金额、开票信息、专票（普票）、邮寄地址。（请中标人在交完代理费后再申请开票并将通知书邮寄地址一并发送至邮箱）</w:t>
            </w:r>
          </w:p>
        </w:tc>
      </w:tr>
      <w:tr w14:paraId="300B5E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0C8F9D30">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1907" w:type="dxa"/>
            <w:tcBorders>
              <w:tl2br w:val="nil"/>
              <w:tr2bl w:val="nil"/>
            </w:tcBorders>
            <w:noWrap w:val="0"/>
            <w:vAlign w:val="center"/>
          </w:tcPr>
          <w:p w14:paraId="2D888CBA">
            <w:pPr>
              <w:pStyle w:val="61"/>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highlight w:val="none"/>
              </w:rPr>
              <w:t>投标文件数量</w:t>
            </w:r>
          </w:p>
        </w:tc>
        <w:tc>
          <w:tcPr>
            <w:tcW w:w="6994" w:type="dxa"/>
            <w:tcBorders>
              <w:tl2br w:val="nil"/>
              <w:tr2bl w:val="nil"/>
            </w:tcBorders>
            <w:noWrap w:val="0"/>
            <w:vAlign w:val="center"/>
          </w:tcPr>
          <w:p w14:paraId="566FB83D">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1、资格</w:t>
            </w:r>
            <w:r>
              <w:rPr>
                <w:rFonts w:hint="eastAsia" w:ascii="仿宋" w:hAnsi="仿宋" w:eastAsia="仿宋" w:cs="仿宋"/>
                <w:color w:val="auto"/>
                <w:sz w:val="24"/>
                <w:lang w:eastAsia="zh-CN"/>
              </w:rPr>
              <w:t>技术投标</w:t>
            </w:r>
            <w:r>
              <w:rPr>
                <w:rFonts w:hint="eastAsia" w:ascii="仿宋" w:hAnsi="仿宋" w:eastAsia="仿宋" w:cs="仿宋"/>
                <w:color w:val="auto"/>
                <w:sz w:val="24"/>
              </w:rPr>
              <w:t xml:space="preserve">文件：正本 1 份，副本 </w:t>
            </w:r>
            <w:r>
              <w:rPr>
                <w:rFonts w:hint="eastAsia" w:ascii="仿宋" w:hAnsi="仿宋" w:eastAsia="仿宋" w:cs="仿宋"/>
                <w:color w:val="auto"/>
                <w:sz w:val="24"/>
                <w:lang w:val="en-US" w:eastAsia="zh-CN"/>
              </w:rPr>
              <w:t>4</w:t>
            </w:r>
            <w:r>
              <w:rPr>
                <w:rFonts w:hint="eastAsia" w:ascii="仿宋" w:hAnsi="仿宋" w:eastAsia="仿宋" w:cs="仿宋"/>
                <w:color w:val="auto"/>
                <w:sz w:val="24"/>
              </w:rPr>
              <w:t>份；</w:t>
            </w:r>
          </w:p>
          <w:p w14:paraId="4CF033FA">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w:t>
            </w:r>
            <w:r>
              <w:rPr>
                <w:rFonts w:hint="eastAsia" w:ascii="仿宋" w:hAnsi="仿宋" w:eastAsia="仿宋" w:cs="仿宋"/>
                <w:color w:val="auto"/>
                <w:sz w:val="24"/>
                <w:lang w:eastAsia="zh-CN"/>
              </w:rPr>
              <w:t>开标一览表</w:t>
            </w:r>
            <w:r>
              <w:rPr>
                <w:rFonts w:hint="eastAsia" w:ascii="仿宋" w:hAnsi="仿宋" w:eastAsia="仿宋" w:cs="仿宋"/>
                <w:color w:val="auto"/>
                <w:sz w:val="24"/>
              </w:rPr>
              <w:t>：1份</w:t>
            </w:r>
            <w:r>
              <w:rPr>
                <w:rFonts w:hint="eastAsia" w:ascii="仿宋" w:hAnsi="仿宋" w:eastAsia="仿宋" w:cs="仿宋"/>
                <w:color w:val="auto"/>
                <w:sz w:val="24"/>
                <w:lang w:eastAsia="zh-CN"/>
              </w:rPr>
              <w:t>。</w:t>
            </w:r>
          </w:p>
          <w:p w14:paraId="49A32F33">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投标</w:t>
            </w:r>
            <w:r>
              <w:rPr>
                <w:rFonts w:hint="eastAsia" w:ascii="仿宋" w:hAnsi="仿宋" w:eastAsia="仿宋" w:cs="仿宋"/>
                <w:color w:val="auto"/>
                <w:sz w:val="24"/>
              </w:rPr>
              <w:t>文件电子档：1 份。</w:t>
            </w:r>
          </w:p>
          <w:p w14:paraId="39818774">
            <w:pPr>
              <w:pStyle w:val="50"/>
              <w:keepNext w:val="0"/>
              <w:keepLines w:val="0"/>
              <w:pageBreakBefore w:val="0"/>
              <w:widowControl w:val="0"/>
              <w:kinsoku/>
              <w:wordWrap/>
              <w:overflowPunct/>
              <w:topLinePunct w:val="0"/>
              <w:bidi w:val="0"/>
              <w:snapToGrid/>
              <w:spacing w:after="0" w:line="240" w:lineRule="auto"/>
              <w:ind w:left="0" w:leftChars="0" w:right="0" w:rightChars="0" w:firstLine="241" w:firstLineChars="100"/>
              <w:jc w:val="both"/>
              <w:textAlignment w:val="auto"/>
              <w:rPr>
                <w:rFonts w:hint="eastAsia" w:ascii="仿宋" w:hAnsi="仿宋" w:eastAsia="仿宋" w:cs="宋体"/>
                <w:color w:val="auto"/>
                <w:sz w:val="24"/>
                <w:szCs w:val="24"/>
                <w:lang w:val="zh-CN" w:eastAsia="zh-CN" w:bidi="ar-SA"/>
              </w:rPr>
            </w:pPr>
            <w:r>
              <w:rPr>
                <w:rFonts w:hint="eastAsia" w:ascii="仿宋" w:hAnsi="仿宋" w:eastAsia="仿宋" w:cs="仿宋"/>
                <w:b/>
                <w:bCs w:val="0"/>
                <w:color w:val="auto"/>
                <w:sz w:val="24"/>
                <w:szCs w:val="24"/>
                <w:highlight w:val="none"/>
                <w:lang w:eastAsia="zh-CN"/>
              </w:rPr>
              <w:t>注：采购项目分包的，各包须按以上要求分别提供。</w:t>
            </w:r>
          </w:p>
        </w:tc>
      </w:tr>
      <w:tr w14:paraId="5337A7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D72CA3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907" w:type="dxa"/>
            <w:tcBorders>
              <w:tl2br w:val="nil"/>
              <w:tr2bl w:val="nil"/>
            </w:tcBorders>
            <w:noWrap w:val="0"/>
            <w:vAlign w:val="center"/>
          </w:tcPr>
          <w:p w14:paraId="690B7730">
            <w:pPr>
              <w:pStyle w:val="61"/>
              <w:keepNext w:val="0"/>
              <w:keepLines w:val="0"/>
              <w:pageBreakBefore w:val="0"/>
              <w:widowControl w:val="0"/>
              <w:kinsoku/>
              <w:wordWrap/>
              <w:overflowPunct/>
              <w:topLinePunct w:val="0"/>
              <w:bidi w:val="0"/>
              <w:snapToGrid/>
              <w:spacing w:beforeLines="0" w:afterLines="0" w:line="240" w:lineRule="auto"/>
              <w:ind w:left="0" w:leftChars="0" w:firstLine="0" w:firstLineChars="0"/>
              <w:jc w:val="center"/>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sz w:val="24"/>
                <w:szCs w:val="24"/>
                <w:lang w:eastAsia="zh-CN"/>
              </w:rPr>
              <w:t>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明</w:t>
            </w:r>
          </w:p>
        </w:tc>
        <w:tc>
          <w:tcPr>
            <w:tcW w:w="6994" w:type="dxa"/>
            <w:tcBorders>
              <w:tl2br w:val="nil"/>
              <w:tr2bl w:val="nil"/>
            </w:tcBorders>
            <w:noWrap w:val="0"/>
            <w:vAlign w:val="center"/>
          </w:tcPr>
          <w:p w14:paraId="083CAD6C">
            <w:pPr>
              <w:pStyle w:val="61"/>
              <w:keepNext w:val="0"/>
              <w:keepLines w:val="0"/>
              <w:pageBreakBefore w:val="0"/>
              <w:widowControl w:val="0"/>
              <w:numPr>
                <w:ilvl w:val="0"/>
                <w:numId w:val="0"/>
              </w:numPr>
              <w:kinsoku/>
              <w:wordWrap/>
              <w:overflowPunct/>
              <w:topLinePunct w:val="0"/>
              <w:bidi w:val="0"/>
              <w:snapToGrid/>
              <w:spacing w:line="240" w:lineRule="auto"/>
              <w:ind w:left="210" w:leftChars="100" w:firstLine="0" w:firstLineChars="0"/>
              <w:jc w:val="both"/>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lang w:val="en-US" w:eastAsia="zh-CN" w:bidi="ar"/>
              </w:rPr>
              <w:t>1、</w:t>
            </w:r>
            <w:r>
              <w:rPr>
                <w:rFonts w:hint="eastAsia" w:ascii="仿宋" w:hAnsi="仿宋" w:eastAsia="仿宋" w:cs="仿宋"/>
                <w:color w:val="auto"/>
                <w:sz w:val="24"/>
                <w:szCs w:val="24"/>
                <w:highlight w:val="none"/>
                <w:lang w:val="en-US" w:eastAsia="zh-CN"/>
              </w:rPr>
              <w:t>本招标文件中“以上”均包含本数。</w:t>
            </w:r>
          </w:p>
        </w:tc>
      </w:tr>
    </w:tbl>
    <w:p w14:paraId="52012A07">
      <w:pPr>
        <w:pageBreakBefore w:val="0"/>
        <w:widowControl w:val="0"/>
        <w:kinsoku/>
        <w:wordWrap/>
        <w:overflowPunct/>
        <w:topLinePunct w:val="0"/>
        <w:bidi w:val="0"/>
        <w:snapToGrid/>
        <w:rPr>
          <w:rFonts w:hint="eastAsia" w:ascii="仿宋" w:hAnsi="仿宋" w:eastAsia="仿宋" w:cs="仿宋"/>
          <w:b/>
          <w:bCs/>
          <w:color w:val="auto"/>
          <w:highlight w:val="none"/>
        </w:rPr>
      </w:pPr>
    </w:p>
    <w:p w14:paraId="5A7FD013">
      <w:pPr>
        <w:pStyle w:val="12"/>
        <w:pageBreakBefore w:val="0"/>
        <w:widowControl w:val="0"/>
        <w:kinsoku/>
        <w:wordWrap/>
        <w:overflowPunct/>
        <w:topLinePunct w:val="0"/>
        <w:bidi w:val="0"/>
        <w:snapToGrid/>
        <w:rPr>
          <w:rFonts w:hint="eastAsia" w:ascii="仿宋" w:hAnsi="仿宋" w:eastAsia="仿宋" w:cs="仿宋"/>
          <w:b/>
          <w:bCs/>
          <w:color w:val="auto"/>
          <w:highlight w:val="none"/>
        </w:rPr>
      </w:pPr>
    </w:p>
    <w:bookmarkEnd w:id="10"/>
    <w:bookmarkEnd w:id="11"/>
    <w:bookmarkEnd w:id="12"/>
    <w:bookmarkEnd w:id="13"/>
    <w:bookmarkEnd w:id="14"/>
    <w:p w14:paraId="1FCA463D">
      <w:pPr>
        <w:pageBreakBefore w:val="0"/>
        <w:widowControl w:val="0"/>
        <w:kinsoku/>
        <w:wordWrap/>
        <w:overflowPunct/>
        <w:topLinePunct w:val="0"/>
        <w:bidi w:val="0"/>
        <w:snapToGrid/>
        <w:spacing w:after="0" w:line="240" w:lineRule="auto"/>
        <w:jc w:val="left"/>
        <w:outlineLvl w:val="9"/>
        <w:rPr>
          <w:rFonts w:ascii="仿宋" w:hAnsi="仿宋" w:eastAsia="仿宋"/>
          <w:color w:val="auto"/>
        </w:rPr>
      </w:pPr>
      <w:r>
        <w:rPr>
          <w:rFonts w:ascii="仿宋" w:hAnsi="仿宋" w:eastAsia="仿宋"/>
          <w:color w:val="auto"/>
        </w:rPr>
        <w:br w:type="page"/>
      </w:r>
    </w:p>
    <w:p w14:paraId="63CDB4A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21" w:name="_Toc79959161"/>
      <w:bookmarkStart w:id="22" w:name="_Toc22701"/>
      <w:bookmarkStart w:id="23" w:name="_Toc12336"/>
      <w:r>
        <w:rPr>
          <w:rFonts w:hint="eastAsia" w:ascii="仿宋" w:hAnsi="仿宋" w:eastAsia="仿宋" w:cs="仿宋"/>
          <w:b/>
          <w:bCs/>
          <w:color w:val="auto"/>
          <w:highlight w:val="none"/>
        </w:rPr>
        <w:t>二、总  则</w:t>
      </w:r>
      <w:bookmarkEnd w:id="21"/>
      <w:bookmarkEnd w:id="22"/>
      <w:bookmarkEnd w:id="23"/>
    </w:p>
    <w:p w14:paraId="1C32371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szCs w:val="24"/>
        </w:rPr>
      </w:pPr>
      <w:bookmarkStart w:id="24" w:name="_Toc183582205"/>
      <w:bookmarkStart w:id="25" w:name="_Toc183682342"/>
      <w:bookmarkStart w:id="26" w:name="_Toc217446034"/>
      <w:bookmarkStart w:id="27" w:name="_Toc79959162"/>
      <w:r>
        <w:rPr>
          <w:rFonts w:hint="eastAsia" w:ascii="仿宋" w:hAnsi="仿宋" w:eastAsia="仿宋"/>
          <w:b/>
          <w:bCs/>
          <w:color w:val="auto"/>
          <w:sz w:val="24"/>
          <w:szCs w:val="24"/>
        </w:rPr>
        <w:t>1</w:t>
      </w:r>
      <w:bookmarkEnd w:id="24"/>
      <w:bookmarkEnd w:id="25"/>
      <w:r>
        <w:rPr>
          <w:rFonts w:hint="eastAsia" w:ascii="仿宋" w:hAnsi="仿宋" w:eastAsia="仿宋"/>
          <w:b/>
          <w:bCs/>
          <w:color w:val="auto"/>
          <w:sz w:val="24"/>
          <w:szCs w:val="24"/>
          <w:lang w:val="en-US" w:eastAsia="zh-CN"/>
        </w:rPr>
        <w:t>.</w:t>
      </w:r>
      <w:r>
        <w:rPr>
          <w:rFonts w:hint="eastAsia" w:ascii="仿宋" w:hAnsi="仿宋" w:eastAsia="仿宋"/>
          <w:b/>
          <w:bCs/>
          <w:color w:val="auto"/>
          <w:sz w:val="24"/>
          <w:szCs w:val="24"/>
        </w:rPr>
        <w:t>适用范围</w:t>
      </w:r>
      <w:bookmarkEnd w:id="26"/>
      <w:bookmarkEnd w:id="27"/>
    </w:p>
    <w:p w14:paraId="5408AFA9">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bookmarkStart w:id="28" w:name="_Toc183582206"/>
      <w:bookmarkStart w:id="29" w:name="_Toc183682343"/>
      <w:bookmarkStart w:id="30" w:name="_Toc79959163"/>
      <w:bookmarkStart w:id="31" w:name="_Toc217446035"/>
      <w:r>
        <w:rPr>
          <w:rFonts w:hint="eastAsia" w:ascii="仿宋" w:hAnsi="仿宋" w:eastAsia="仿宋"/>
          <w:b w:val="0"/>
          <w:bCs w:val="0"/>
          <w:color w:val="auto"/>
          <w:sz w:val="24"/>
        </w:rPr>
        <w:t>1.1 本招标文件仅适用于本次招标所叙述的</w:t>
      </w:r>
      <w:r>
        <w:rPr>
          <w:rFonts w:hint="eastAsia" w:ascii="仿宋" w:hAnsi="仿宋" w:eastAsia="仿宋" w:cs="仿宋"/>
          <w:color w:val="auto"/>
          <w:sz w:val="24"/>
          <w:szCs w:val="24"/>
          <w:highlight w:val="none"/>
          <w:u w:val="single"/>
          <w:lang w:eastAsia="zh-CN"/>
        </w:rPr>
        <w:t>货物</w:t>
      </w:r>
      <w:r>
        <w:rPr>
          <w:rFonts w:hint="eastAsia" w:ascii="仿宋" w:hAnsi="仿宋" w:eastAsia="仿宋"/>
          <w:b w:val="0"/>
          <w:bCs w:val="0"/>
          <w:color w:val="auto"/>
          <w:sz w:val="24"/>
        </w:rPr>
        <w:t>采购。</w:t>
      </w:r>
    </w:p>
    <w:p w14:paraId="0B40CF26">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rPr>
        <w:t>1.2 本招标文件的解释权归招标人和招标代理机构所有。</w:t>
      </w:r>
    </w:p>
    <w:p w14:paraId="35056E7C">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r>
        <w:rPr>
          <w:rFonts w:hint="eastAsia" w:ascii="仿宋" w:hAnsi="仿宋" w:eastAsia="仿宋"/>
          <w:b/>
          <w:bCs/>
          <w:color w:val="auto"/>
          <w:sz w:val="24"/>
        </w:rPr>
        <w:t>2</w:t>
      </w:r>
      <w:bookmarkEnd w:id="28"/>
      <w:bookmarkEnd w:id="29"/>
      <w:r>
        <w:rPr>
          <w:rFonts w:hint="eastAsia" w:ascii="仿宋" w:hAnsi="仿宋" w:eastAsia="仿宋"/>
          <w:b/>
          <w:bCs/>
          <w:color w:val="auto"/>
          <w:sz w:val="24"/>
          <w:lang w:val="en-US" w:eastAsia="zh-CN"/>
        </w:rPr>
        <w:t>.</w:t>
      </w:r>
      <w:r>
        <w:rPr>
          <w:rFonts w:hint="eastAsia" w:ascii="仿宋" w:hAnsi="仿宋" w:eastAsia="仿宋"/>
          <w:b/>
          <w:bCs/>
          <w:color w:val="auto"/>
          <w:sz w:val="24"/>
        </w:rPr>
        <w:t>有关</w:t>
      </w:r>
      <w:r>
        <w:rPr>
          <w:rFonts w:hint="eastAsia" w:ascii="仿宋" w:hAnsi="仿宋" w:eastAsia="仿宋"/>
          <w:b/>
          <w:bCs/>
          <w:color w:val="auto"/>
          <w:sz w:val="24"/>
          <w:szCs w:val="24"/>
        </w:rPr>
        <w:t>定义</w:t>
      </w:r>
      <w:bookmarkEnd w:id="30"/>
      <w:bookmarkEnd w:id="31"/>
      <w:bookmarkStart w:id="32" w:name="PO_默认文件内容_19"/>
    </w:p>
    <w:bookmarkEnd w:id="32"/>
    <w:p w14:paraId="267C54B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bookmarkStart w:id="33" w:name="_Toc183682344"/>
      <w:bookmarkStart w:id="34" w:name="_Toc183582207"/>
      <w:bookmarkStart w:id="35" w:name="_Toc79959164"/>
      <w:bookmarkStart w:id="36" w:name="_Toc217390843"/>
      <w:bookmarkStart w:id="37" w:name="_Toc217446036"/>
      <w:bookmarkStart w:id="38" w:name="PO_默认文件内容_20"/>
      <w:r>
        <w:rPr>
          <w:rFonts w:hint="eastAsia" w:ascii="仿宋" w:hAnsi="仿宋" w:eastAsia="仿宋" w:cs="Times New Roman"/>
          <w:color w:val="auto"/>
          <w:sz w:val="24"/>
        </w:rPr>
        <w:t>2.1本次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是</w:t>
      </w:r>
      <w:r>
        <w:rPr>
          <w:rFonts w:hint="eastAsia" w:ascii="仿宋" w:hAnsi="仿宋" w:eastAsia="仿宋"/>
          <w:b/>
          <w:bCs/>
          <w:color w:val="auto"/>
          <w:sz w:val="24"/>
          <w:u w:val="single"/>
          <w:lang w:val="en-US" w:eastAsia="zh-CN"/>
        </w:rPr>
        <w:t>富顺县中医医院</w:t>
      </w:r>
      <w:r>
        <w:rPr>
          <w:rFonts w:hint="eastAsia" w:ascii="仿宋" w:hAnsi="仿宋" w:eastAsia="仿宋"/>
          <w:color w:val="auto"/>
          <w:sz w:val="24"/>
        </w:rPr>
        <w:t>。</w:t>
      </w:r>
    </w:p>
    <w:p w14:paraId="3211928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2.2本次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招标代理机构</w:t>
      </w:r>
      <w:r>
        <w:rPr>
          <w:rFonts w:hint="eastAsia" w:ascii="仿宋" w:hAnsi="仿宋" w:eastAsia="仿宋" w:cs="Times New Roman"/>
          <w:color w:val="auto"/>
          <w:sz w:val="24"/>
        </w:rPr>
        <w:t>是</w:t>
      </w:r>
      <w:r>
        <w:rPr>
          <w:rFonts w:hint="eastAsia" w:ascii="仿宋" w:hAnsi="仿宋" w:eastAsia="仿宋"/>
          <w:b/>
          <w:bCs/>
          <w:color w:val="auto"/>
          <w:sz w:val="24"/>
          <w:u w:val="single"/>
          <w:lang w:eastAsia="zh-CN"/>
        </w:rPr>
        <w:t>四川虹采招标代理有限责任公司</w:t>
      </w:r>
      <w:r>
        <w:rPr>
          <w:rFonts w:hint="eastAsia" w:ascii="仿宋" w:hAnsi="仿宋" w:eastAsia="仿宋"/>
          <w:color w:val="auto"/>
          <w:sz w:val="24"/>
        </w:rPr>
        <w:t>。</w:t>
      </w:r>
    </w:p>
    <w:p w14:paraId="6CEF7E7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lang w:eastAsia="zh-CN"/>
        </w:rPr>
      </w:pPr>
      <w:r>
        <w:rPr>
          <w:rFonts w:hint="eastAsia" w:ascii="仿宋" w:hAnsi="仿宋" w:eastAsia="仿宋"/>
          <w:b/>
          <w:bCs/>
          <w:color w:val="auto"/>
          <w:sz w:val="24"/>
        </w:rPr>
        <w:t>3</w:t>
      </w:r>
      <w:r>
        <w:rPr>
          <w:rFonts w:hint="eastAsia" w:ascii="仿宋" w:hAnsi="仿宋" w:eastAsia="仿宋"/>
          <w:b/>
          <w:bCs/>
          <w:color w:val="auto"/>
          <w:sz w:val="24"/>
          <w:lang w:val="en-US" w:eastAsia="zh-CN"/>
        </w:rPr>
        <w:t>.</w:t>
      </w:r>
      <w:r>
        <w:rPr>
          <w:rFonts w:hint="eastAsia" w:ascii="仿宋" w:hAnsi="仿宋" w:eastAsia="仿宋"/>
          <w:b/>
          <w:bCs/>
          <w:color w:val="auto"/>
          <w:sz w:val="24"/>
        </w:rPr>
        <w:t>合格的投标人</w:t>
      </w:r>
      <w:bookmarkEnd w:id="33"/>
      <w:bookmarkEnd w:id="34"/>
      <w:bookmarkEnd w:id="35"/>
      <w:bookmarkEnd w:id="36"/>
      <w:bookmarkEnd w:id="37"/>
      <w:r>
        <w:rPr>
          <w:rFonts w:hint="eastAsia" w:ascii="仿宋" w:hAnsi="仿宋" w:eastAsia="仿宋"/>
          <w:b/>
          <w:bCs/>
          <w:color w:val="auto"/>
          <w:sz w:val="24"/>
          <w:lang w:eastAsia="zh-CN"/>
        </w:rPr>
        <w:t>（实质性要求）</w:t>
      </w:r>
    </w:p>
    <w:p w14:paraId="7F745D0B">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合格的投标人应具备以下条件：</w:t>
      </w:r>
    </w:p>
    <w:p w14:paraId="7C0B196A">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pacing w:val="-4"/>
          <w:sz w:val="24"/>
        </w:rPr>
      </w:pPr>
      <w:r>
        <w:rPr>
          <w:rFonts w:hint="eastAsia" w:ascii="仿宋" w:hAnsi="仿宋" w:eastAsia="仿宋"/>
          <w:color w:val="auto"/>
          <w:sz w:val="24"/>
          <w:lang w:val="en-US" w:eastAsia="zh-CN"/>
        </w:rPr>
        <w:t>3.1</w:t>
      </w:r>
      <w:r>
        <w:rPr>
          <w:rFonts w:hint="eastAsia" w:ascii="仿宋" w:hAnsi="仿宋" w:eastAsia="仿宋"/>
          <w:color w:val="auto"/>
          <w:sz w:val="24"/>
        </w:rPr>
        <w:t>本招标文件规定的</w:t>
      </w:r>
      <w:r>
        <w:rPr>
          <w:rFonts w:hint="eastAsia" w:ascii="仿宋" w:hAnsi="仿宋" w:eastAsia="仿宋"/>
          <w:color w:val="auto"/>
          <w:sz w:val="24"/>
          <w:lang w:eastAsia="zh-CN"/>
        </w:rPr>
        <w:t>投标人</w:t>
      </w:r>
      <w:r>
        <w:rPr>
          <w:rFonts w:hint="eastAsia" w:ascii="仿宋" w:hAnsi="仿宋" w:eastAsia="仿宋"/>
          <w:color w:val="auto"/>
          <w:sz w:val="24"/>
        </w:rPr>
        <w:t>资格条件</w:t>
      </w:r>
      <w:r>
        <w:rPr>
          <w:rFonts w:hint="eastAsia" w:ascii="仿宋" w:hAnsi="仿宋" w:eastAsia="仿宋"/>
          <w:color w:val="auto"/>
          <w:spacing w:val="-4"/>
          <w:sz w:val="24"/>
        </w:rPr>
        <w:t>；</w:t>
      </w:r>
    </w:p>
    <w:p w14:paraId="51DF12D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lang w:val="en-US" w:eastAsia="zh-CN"/>
        </w:rPr>
        <w:t>3.2</w:t>
      </w:r>
      <w:bookmarkEnd w:id="38"/>
      <w:r>
        <w:rPr>
          <w:rFonts w:hint="eastAsia" w:ascii="仿宋" w:hAnsi="仿宋" w:eastAsia="仿宋" w:cs="仿宋"/>
          <w:color w:val="auto"/>
          <w:spacing w:val="-4"/>
          <w:sz w:val="24"/>
          <w:szCs w:val="24"/>
          <w:highlight w:val="none"/>
        </w:rPr>
        <w:t>按照规定</w:t>
      </w:r>
      <w:r>
        <w:rPr>
          <w:rFonts w:hint="eastAsia" w:ascii="仿宋" w:hAnsi="仿宋" w:eastAsia="仿宋" w:cs="仿宋"/>
          <w:color w:val="auto"/>
          <w:sz w:val="24"/>
          <w:szCs w:val="24"/>
          <w:highlight w:val="none"/>
        </w:rPr>
        <w:t>获取了</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文件，属于实质性参加采购活动的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w:t>
      </w:r>
    </w:p>
    <w:p w14:paraId="33181F9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39" w:name="_Toc217446037"/>
      <w:bookmarkStart w:id="40" w:name="_Toc183682345"/>
      <w:bookmarkStart w:id="41" w:name="_Toc183582208"/>
      <w:bookmarkStart w:id="42" w:name="_Toc79959165"/>
      <w:bookmarkStart w:id="43" w:name="PO_默认文件内容_16"/>
      <w:r>
        <w:rPr>
          <w:rFonts w:hint="eastAsia" w:ascii="仿宋" w:hAnsi="仿宋" w:eastAsia="仿宋"/>
          <w:b/>
          <w:bCs/>
          <w:color w:val="auto"/>
          <w:sz w:val="24"/>
        </w:rPr>
        <w:t>4.投标费用</w:t>
      </w:r>
      <w:bookmarkEnd w:id="39"/>
      <w:bookmarkEnd w:id="40"/>
      <w:bookmarkEnd w:id="41"/>
      <w:r>
        <w:rPr>
          <w:rFonts w:hint="eastAsia" w:ascii="仿宋" w:hAnsi="仿宋" w:eastAsia="仿宋"/>
          <w:b/>
          <w:bCs/>
          <w:color w:val="auto"/>
          <w:sz w:val="24"/>
          <w:szCs w:val="24"/>
        </w:rPr>
        <w:t>（实质性要求）</w:t>
      </w:r>
      <w:bookmarkEnd w:id="42"/>
    </w:p>
    <w:p w14:paraId="27CC3F6C">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outlineLvl w:val="9"/>
        <w:rPr>
          <w:rFonts w:ascii="仿宋" w:hAnsi="仿宋" w:eastAsia="仿宋"/>
          <w:color w:val="auto"/>
          <w:sz w:val="24"/>
        </w:rPr>
      </w:pPr>
      <w:r>
        <w:rPr>
          <w:rFonts w:hint="eastAsia" w:ascii="仿宋" w:hAnsi="仿宋" w:eastAsia="仿宋"/>
          <w:color w:val="auto"/>
          <w:sz w:val="24"/>
        </w:rPr>
        <w:t>投标人参加投标的有关费用由投标人自行承担。</w:t>
      </w:r>
    </w:p>
    <w:p w14:paraId="6B3DB300">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44" w:name="_Toc79959166"/>
      <w:r>
        <w:rPr>
          <w:rFonts w:hint="eastAsia" w:ascii="仿宋" w:hAnsi="仿宋" w:eastAsia="仿宋"/>
          <w:b/>
          <w:bCs/>
          <w:color w:val="auto"/>
          <w:sz w:val="24"/>
        </w:rPr>
        <w:t>5</w:t>
      </w:r>
      <w:r>
        <w:rPr>
          <w:rFonts w:hint="eastAsia" w:ascii="仿宋" w:hAnsi="仿宋" w:eastAsia="仿宋"/>
          <w:b/>
          <w:bCs/>
          <w:color w:val="auto"/>
          <w:sz w:val="24"/>
          <w:lang w:val="en-US" w:eastAsia="zh-CN"/>
        </w:rPr>
        <w:t>.</w:t>
      </w:r>
      <w:r>
        <w:rPr>
          <w:rFonts w:hint="eastAsia" w:ascii="仿宋" w:hAnsi="仿宋" w:eastAsia="仿宋"/>
          <w:b/>
          <w:bCs/>
          <w:color w:val="auto"/>
          <w:sz w:val="24"/>
        </w:rPr>
        <w:t>充分、公平竞争保障措施</w:t>
      </w:r>
      <w:bookmarkEnd w:id="44"/>
      <w:r>
        <w:rPr>
          <w:rFonts w:hint="eastAsia" w:ascii="仿宋" w:hAnsi="仿宋" w:eastAsia="仿宋"/>
          <w:b/>
          <w:bCs/>
          <w:color w:val="auto"/>
          <w:sz w:val="24"/>
          <w:lang w:eastAsia="zh-CN"/>
        </w:rPr>
        <w:t>（实质性要求）</w:t>
      </w:r>
    </w:p>
    <w:p w14:paraId="5A964809">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bookmarkStart w:id="45" w:name="_Toc79959167"/>
      <w:bookmarkStart w:id="46" w:name="_Toc217446038"/>
      <w:bookmarkStart w:id="47" w:name="_Toc89075875"/>
      <w:bookmarkStart w:id="48" w:name="_Toc183582209"/>
      <w:bookmarkStart w:id="49" w:name="_Toc77400779"/>
      <w:bookmarkStart w:id="50" w:name="_Toc183682346"/>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1</w:t>
      </w:r>
      <w:r>
        <w:rPr>
          <w:rFonts w:hint="eastAsia" w:ascii="仿宋" w:hAnsi="仿宋" w:eastAsia="仿宋"/>
          <w:b/>
          <w:color w:val="auto"/>
          <w:sz w:val="24"/>
          <w:highlight w:val="none"/>
        </w:rPr>
        <w:t xml:space="preserve"> 利害关系</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单位负责人为同一人或者存在直接控股、管理关系的不同</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不得参加同一合同项下的采购活动。</w:t>
      </w:r>
    </w:p>
    <w:p w14:paraId="06E3AC8C">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2</w:t>
      </w:r>
      <w:r>
        <w:rPr>
          <w:rFonts w:hint="eastAsia" w:ascii="仿宋" w:hAnsi="仿宋" w:eastAsia="仿宋"/>
          <w:b/>
          <w:color w:val="auto"/>
          <w:sz w:val="24"/>
          <w:highlight w:val="none"/>
        </w:rPr>
        <w:t xml:space="preserve"> 前期参与</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为采购项目提供整体设计、规范编制或者项目管理、监理、检测等服务的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，不得再参加该采购项目的其他采购活动。</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为</w:t>
      </w:r>
      <w:r>
        <w:rPr>
          <w:rFonts w:hint="eastAsia" w:ascii="仿宋" w:hAnsi="仿宋" w:eastAsia="仿宋"/>
          <w:color w:val="auto"/>
          <w:sz w:val="24"/>
          <w:highlight w:val="none"/>
          <w:lang w:eastAsia="zh-CN"/>
        </w:rPr>
        <w:t>招标人</w:t>
      </w:r>
      <w:r>
        <w:rPr>
          <w:rFonts w:hint="eastAsia" w:ascii="仿宋" w:hAnsi="仿宋" w:eastAsia="仿宋"/>
          <w:color w:val="auto"/>
          <w:sz w:val="24"/>
          <w:highlight w:val="none"/>
        </w:rPr>
        <w:t>、</w:t>
      </w:r>
      <w:r>
        <w:rPr>
          <w:rFonts w:hint="eastAsia" w:ascii="仿宋" w:hAnsi="仿宋" w:eastAsia="仿宋"/>
          <w:color w:val="auto"/>
          <w:sz w:val="24"/>
          <w:highlight w:val="none"/>
          <w:lang w:eastAsia="zh-CN"/>
        </w:rPr>
        <w:t>招标代理机构</w:t>
      </w:r>
      <w:r>
        <w:rPr>
          <w:rFonts w:hint="eastAsia" w:ascii="仿宋" w:hAnsi="仿宋" w:eastAsia="仿宋"/>
          <w:color w:val="auto"/>
          <w:sz w:val="24"/>
          <w:highlight w:val="none"/>
        </w:rPr>
        <w:t>在确定采购需求、编制</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过程中提供咨询论证，其提供的咨询论证意见成为</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中规定的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资格条件、技术服务商务要求、评标因素和标准、采购合同等实质性内容条款的，视同为采购项目提供规范编制。</w:t>
      </w:r>
    </w:p>
    <w:p w14:paraId="337E3F61">
      <w:pPr>
        <w:pStyle w:val="65"/>
        <w:keepNext w:val="0"/>
        <w:keepLines w:val="0"/>
        <w:pageBreakBefore w:val="0"/>
        <w:widowControl w:val="0"/>
        <w:kinsoku/>
        <w:wordWrap/>
        <w:overflowPunct/>
        <w:topLinePunct w:val="0"/>
        <w:autoSpaceDE/>
        <w:autoSpaceDN/>
        <w:bidi w:val="0"/>
        <w:adjustRightInd w:val="0"/>
        <w:snapToGrid/>
        <w:spacing w:line="360" w:lineRule="auto"/>
        <w:ind w:left="0" w:right="0" w:rightChars="0" w:firstLine="482" w:firstLineChars="200"/>
        <w:jc w:val="both"/>
        <w:textAlignment w:val="baseline"/>
        <w:outlineLvl w:val="9"/>
        <w:rPr>
          <w:rFonts w:hint="eastAsia" w:ascii="仿宋" w:hAnsi="仿宋" w:eastAsia="仿宋" w:cs="仿宋"/>
          <w:color w:val="auto"/>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 xml:space="preserve"> 利害关系代理人处理。</w:t>
      </w:r>
      <w:r>
        <w:rPr>
          <w:rFonts w:hint="eastAsia" w:ascii="仿宋" w:hAnsi="仿宋" w:eastAsia="仿宋"/>
          <w:color w:val="auto"/>
          <w:sz w:val="24"/>
          <w:highlight w:val="none"/>
          <w:lang w:eastAsia="zh-CN"/>
        </w:rPr>
        <w:t>两</w:t>
      </w:r>
      <w:r>
        <w:rPr>
          <w:rFonts w:hint="eastAsia" w:ascii="仿宋" w:hAnsi="仿宋" w:eastAsia="仿宋"/>
          <w:color w:val="auto"/>
          <w:sz w:val="24"/>
          <w:highlight w:val="none"/>
        </w:rPr>
        <w:t>家以上的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不得在同一合同项下的采购项目中，同时委托同一个自然人、同一家庭的人员、同一单位的人员作为其代理人，否则，其投标文件作为无效处理。</w:t>
      </w:r>
    </w:p>
    <w:p w14:paraId="409C39A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51" w:name="_Toc26876"/>
      <w:bookmarkStart w:id="52" w:name="_Toc31274"/>
      <w:r>
        <w:rPr>
          <w:rFonts w:hint="eastAsia" w:ascii="仿宋" w:hAnsi="仿宋" w:eastAsia="仿宋" w:cs="仿宋"/>
          <w:b/>
          <w:bCs/>
          <w:color w:val="auto"/>
          <w:highlight w:val="none"/>
        </w:rPr>
        <w:t>三、招标文件</w:t>
      </w:r>
      <w:bookmarkEnd w:id="45"/>
      <w:bookmarkEnd w:id="46"/>
      <w:bookmarkEnd w:id="47"/>
      <w:bookmarkEnd w:id="48"/>
      <w:bookmarkEnd w:id="49"/>
      <w:bookmarkEnd w:id="50"/>
      <w:bookmarkEnd w:id="51"/>
      <w:bookmarkEnd w:id="52"/>
    </w:p>
    <w:p w14:paraId="612266A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3" w:name="_Toc217446039"/>
      <w:bookmarkStart w:id="54" w:name="_Toc183582210"/>
      <w:bookmarkStart w:id="55" w:name="_Toc79959168"/>
      <w:bookmarkStart w:id="56" w:name="_Toc183682347"/>
      <w:r>
        <w:rPr>
          <w:rFonts w:hint="eastAsia" w:ascii="仿宋" w:hAnsi="仿宋" w:eastAsia="仿宋"/>
          <w:b/>
          <w:bCs/>
          <w:color w:val="auto"/>
          <w:sz w:val="24"/>
        </w:rPr>
        <w:t>6．招标文件的构成</w:t>
      </w:r>
      <w:bookmarkEnd w:id="53"/>
      <w:bookmarkEnd w:id="54"/>
      <w:bookmarkEnd w:id="55"/>
      <w:bookmarkEnd w:id="56"/>
    </w:p>
    <w:p w14:paraId="0F5F0CE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kern w:val="0"/>
          <w:sz w:val="24"/>
          <w:szCs w:val="22"/>
        </w:rPr>
      </w:pPr>
      <w:r>
        <w:rPr>
          <w:rFonts w:hint="eastAsia" w:ascii="仿宋" w:hAnsi="仿宋" w:eastAsia="仿宋"/>
          <w:color w:val="auto"/>
          <w:kern w:val="0"/>
          <w:sz w:val="24"/>
          <w:szCs w:val="22"/>
        </w:rPr>
        <w:t>招标文件是</w:t>
      </w:r>
      <w:r>
        <w:rPr>
          <w:rFonts w:hint="eastAsia" w:ascii="仿宋" w:hAnsi="仿宋" w:eastAsia="仿宋"/>
          <w:color w:val="auto"/>
          <w:kern w:val="0"/>
          <w:sz w:val="24"/>
          <w:szCs w:val="22"/>
          <w:lang w:eastAsia="zh-CN"/>
        </w:rPr>
        <w:t>投标人</w:t>
      </w:r>
      <w:r>
        <w:rPr>
          <w:rFonts w:hint="eastAsia" w:ascii="仿宋" w:hAnsi="仿宋" w:eastAsia="仿宋"/>
          <w:color w:val="auto"/>
          <w:kern w:val="0"/>
          <w:sz w:val="24"/>
          <w:szCs w:val="22"/>
        </w:rPr>
        <w:t>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1CEDBC31">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kern w:val="0"/>
          <w:sz w:val="24"/>
          <w:szCs w:val="22"/>
        </w:rPr>
        <w:t>（一）投标</w:t>
      </w:r>
      <w:r>
        <w:rPr>
          <w:rFonts w:hint="eastAsia" w:ascii="仿宋" w:hAnsi="仿宋" w:eastAsia="仿宋"/>
          <w:color w:val="auto"/>
          <w:sz w:val="24"/>
        </w:rPr>
        <w:t>邀请</w:t>
      </w:r>
    </w:p>
    <w:p w14:paraId="64B93179">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（二）投标人须知</w:t>
      </w:r>
    </w:p>
    <w:p w14:paraId="62DC8AD2">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（三）投标文件格式</w:t>
      </w:r>
    </w:p>
    <w:p w14:paraId="545D03D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（四）</w:t>
      </w:r>
      <w:r>
        <w:rPr>
          <w:rFonts w:hint="eastAsia" w:ascii="仿宋" w:hAnsi="仿宋" w:eastAsia="仿宋" w:cs="仿宋"/>
          <w:color w:val="auto"/>
          <w:sz w:val="24"/>
          <w:highlight w:val="none"/>
        </w:rPr>
        <w:t>投标人的资格、资质性及其他类似效力要求</w:t>
      </w:r>
    </w:p>
    <w:p w14:paraId="67B9F95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（五）</w:t>
      </w:r>
      <w:r>
        <w:rPr>
          <w:rFonts w:hint="eastAsia" w:ascii="仿宋" w:hAnsi="仿宋" w:eastAsia="仿宋" w:cs="仿宋"/>
          <w:color w:val="auto"/>
          <w:sz w:val="24"/>
          <w:highlight w:val="none"/>
        </w:rPr>
        <w:t>投标人应当提供的资格、资质性及其他类似效力要求的相关证明材料</w:t>
      </w:r>
    </w:p>
    <w:p w14:paraId="5E4F34B4">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（六）</w:t>
      </w:r>
      <w:r>
        <w:rPr>
          <w:rFonts w:hint="eastAsia" w:ascii="仿宋" w:hAnsi="仿宋" w:eastAsia="仿宋" w:cs="仿宋"/>
          <w:color w:val="auto"/>
          <w:sz w:val="24"/>
          <w:highlight w:val="none"/>
        </w:rPr>
        <w:t>招标项目技术、服务、采购合同内容条款及其他商务要求</w:t>
      </w:r>
    </w:p>
    <w:p w14:paraId="35DFE1EE">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（七）评标办法</w:t>
      </w:r>
    </w:p>
    <w:p w14:paraId="11E2BE3D">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（八）</w:t>
      </w:r>
      <w:r>
        <w:rPr>
          <w:rFonts w:hint="eastAsia" w:ascii="仿宋" w:hAnsi="仿宋" w:eastAsia="仿宋"/>
          <w:color w:val="auto"/>
          <w:sz w:val="24"/>
          <w:lang w:eastAsia="zh-CN"/>
        </w:rPr>
        <w:t>采购</w:t>
      </w:r>
      <w:r>
        <w:rPr>
          <w:rFonts w:hint="eastAsia" w:ascii="仿宋" w:hAnsi="仿宋" w:eastAsia="仿宋"/>
          <w:color w:val="auto"/>
          <w:sz w:val="24"/>
        </w:rPr>
        <w:t>合同</w:t>
      </w:r>
    </w:p>
    <w:p w14:paraId="0AA6242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7" w:name="_Toc183582211"/>
      <w:bookmarkStart w:id="58" w:name="_Toc183682348"/>
      <w:bookmarkStart w:id="59" w:name="_Toc217446040"/>
      <w:bookmarkStart w:id="60" w:name="_Toc79959169"/>
      <w:r>
        <w:rPr>
          <w:rFonts w:hint="eastAsia" w:ascii="仿宋" w:hAnsi="仿宋" w:eastAsia="仿宋"/>
          <w:b/>
          <w:bCs/>
          <w:color w:val="auto"/>
          <w:sz w:val="24"/>
        </w:rPr>
        <w:t>7. 招标文件的澄清</w:t>
      </w:r>
      <w:bookmarkEnd w:id="57"/>
      <w:bookmarkEnd w:id="58"/>
      <w:r>
        <w:rPr>
          <w:rFonts w:hint="eastAsia" w:ascii="仿宋" w:hAnsi="仿宋" w:eastAsia="仿宋"/>
          <w:b/>
          <w:bCs/>
          <w:color w:val="auto"/>
          <w:sz w:val="24"/>
        </w:rPr>
        <w:t>和修改</w:t>
      </w:r>
      <w:bookmarkEnd w:id="59"/>
      <w:bookmarkEnd w:id="60"/>
    </w:p>
    <w:p w14:paraId="47C5577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7.1 招标采购单位可以依法对招标文件进行澄清或者修改。</w:t>
      </w:r>
    </w:p>
    <w:p w14:paraId="4817619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7.2 招标采购单位对已发出的招标文件进行澄清或者修改，应当以书面形式将澄清或者修改的内容通知所有购买了招标文件的</w:t>
      </w:r>
      <w:r>
        <w:rPr>
          <w:rFonts w:hint="eastAsia" w:ascii="仿宋" w:hAnsi="仿宋" w:eastAsia="仿宋"/>
          <w:color w:val="auto"/>
          <w:sz w:val="24"/>
          <w:lang w:eastAsia="zh-CN"/>
        </w:rPr>
        <w:t>投标人</w:t>
      </w:r>
      <w:r>
        <w:rPr>
          <w:rFonts w:hint="eastAsia" w:ascii="仿宋" w:hAnsi="仿宋" w:eastAsia="仿宋"/>
          <w:color w:val="auto"/>
          <w:sz w:val="24"/>
        </w:rPr>
        <w:t>，同时在采购招标信息服务平台（http://www.sccgpt.com）</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上发布更正公告。该澄清或者修改的内容为招标文件的组成部分，澄清或者修改的内容可能影响投标文件编制的，</w:t>
      </w:r>
      <w:r>
        <w:rPr>
          <w:rFonts w:hint="eastAsia" w:ascii="仿宋" w:hAnsi="仿宋" w:eastAsia="仿宋"/>
          <w:color w:val="auto"/>
          <w:sz w:val="24"/>
          <w:lang w:eastAsia="zh-CN"/>
        </w:rPr>
        <w:t>招标人</w:t>
      </w:r>
      <w:r>
        <w:rPr>
          <w:rFonts w:hint="eastAsia" w:ascii="仿宋" w:hAnsi="仿宋" w:eastAsia="仿宋"/>
          <w:color w:val="auto"/>
          <w:sz w:val="24"/>
        </w:rPr>
        <w:t>或者</w:t>
      </w:r>
      <w:r>
        <w:rPr>
          <w:rFonts w:hint="eastAsia" w:ascii="仿宋" w:hAnsi="仿宋" w:eastAsia="仿宋"/>
          <w:color w:val="auto"/>
          <w:sz w:val="24"/>
          <w:lang w:eastAsia="zh-CN"/>
        </w:rPr>
        <w:t>招标代理机构</w:t>
      </w:r>
      <w:r>
        <w:rPr>
          <w:rFonts w:hint="eastAsia" w:ascii="仿宋" w:hAnsi="仿宋" w:eastAsia="仿宋"/>
          <w:color w:val="auto"/>
          <w:sz w:val="24"/>
        </w:rPr>
        <w:t>发布公告并书面通知</w:t>
      </w:r>
      <w:r>
        <w:rPr>
          <w:rFonts w:hint="eastAsia" w:ascii="仿宋" w:hAnsi="仿宋" w:eastAsia="仿宋"/>
          <w:color w:val="auto"/>
          <w:sz w:val="24"/>
          <w:lang w:eastAsia="zh-CN"/>
        </w:rPr>
        <w:t>投标人</w:t>
      </w:r>
      <w:r>
        <w:rPr>
          <w:rFonts w:hint="eastAsia" w:ascii="仿宋" w:hAnsi="仿宋" w:eastAsia="仿宋"/>
          <w:color w:val="auto"/>
          <w:sz w:val="24"/>
        </w:rPr>
        <w:t>的时间，应当在投标截止时间至少１５日前；不足上述时间的，应当顺延提交投标文件的截止时间。</w:t>
      </w:r>
    </w:p>
    <w:p w14:paraId="35DD44B7">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 xml:space="preserve">7.3 </w:t>
      </w:r>
      <w:r>
        <w:rPr>
          <w:rFonts w:hint="eastAsia" w:ascii="仿宋" w:hAnsi="仿宋" w:eastAsia="仿宋"/>
          <w:color w:val="auto"/>
          <w:sz w:val="24"/>
          <w:lang w:eastAsia="zh-CN"/>
        </w:rPr>
        <w:t>投标人</w:t>
      </w:r>
      <w:r>
        <w:rPr>
          <w:rFonts w:hint="eastAsia" w:ascii="仿宋" w:hAnsi="仿宋" w:eastAsia="仿宋"/>
          <w:color w:val="auto"/>
          <w:sz w:val="24"/>
        </w:rPr>
        <w:t>应于投标文件递交截止时间之前在采购招标信息服务平台（http://www.sccgpt.com）</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查询本项目的更正公告，以保证其对招标文件做出正确的响应。</w:t>
      </w:r>
      <w:r>
        <w:rPr>
          <w:rFonts w:hint="eastAsia" w:ascii="仿宋" w:hAnsi="仿宋" w:eastAsia="仿宋"/>
          <w:color w:val="auto"/>
          <w:sz w:val="24"/>
          <w:lang w:eastAsia="zh-CN"/>
        </w:rPr>
        <w:t>投标人</w:t>
      </w:r>
      <w:r>
        <w:rPr>
          <w:rFonts w:hint="eastAsia" w:ascii="仿宋" w:hAnsi="仿宋" w:eastAsia="仿宋"/>
          <w:color w:val="auto"/>
          <w:sz w:val="24"/>
        </w:rPr>
        <w:t>未按要求下载相关文件，或由于未及时关注更正公告的信息造成的后果，其责任由</w:t>
      </w:r>
      <w:r>
        <w:rPr>
          <w:rFonts w:hint="eastAsia" w:ascii="仿宋" w:hAnsi="仿宋" w:eastAsia="仿宋"/>
          <w:color w:val="auto"/>
          <w:sz w:val="24"/>
          <w:lang w:eastAsia="zh-CN"/>
        </w:rPr>
        <w:t>投标人</w:t>
      </w:r>
      <w:r>
        <w:rPr>
          <w:rFonts w:hint="eastAsia" w:ascii="仿宋" w:hAnsi="仿宋" w:eastAsia="仿宋"/>
          <w:color w:val="auto"/>
          <w:sz w:val="24"/>
        </w:rPr>
        <w:t>自行负责。</w:t>
      </w:r>
    </w:p>
    <w:p w14:paraId="68B55EEE">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61" w:name="_Toc79959170"/>
      <w:bookmarkStart w:id="62" w:name="_Toc208848971"/>
      <w:bookmarkStart w:id="63" w:name="_Toc217446041"/>
      <w:r>
        <w:rPr>
          <w:rFonts w:hint="eastAsia" w:ascii="仿宋" w:hAnsi="仿宋" w:eastAsia="仿宋"/>
          <w:b/>
          <w:bCs/>
          <w:color w:val="auto"/>
          <w:sz w:val="24"/>
        </w:rPr>
        <w:t>8. 答疑会和现场考察</w:t>
      </w:r>
      <w:bookmarkEnd w:id="61"/>
      <w:bookmarkEnd w:id="62"/>
      <w:bookmarkEnd w:id="63"/>
    </w:p>
    <w:bookmarkEnd w:id="43"/>
    <w:p w14:paraId="6736D702">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cs="仿宋"/>
          <w:b/>
          <w:bCs/>
          <w:color w:val="auto"/>
          <w:kern w:val="2"/>
          <w:sz w:val="24"/>
          <w:szCs w:val="24"/>
          <w:highlight w:val="none"/>
          <w:lang w:val="en-US" w:eastAsia="zh-CN" w:bidi="ar-SA"/>
        </w:rPr>
      </w:pPr>
      <w:bookmarkStart w:id="64" w:name="_Toc183682351"/>
      <w:bookmarkStart w:id="65" w:name="_Toc77400780"/>
      <w:bookmarkStart w:id="66" w:name="_Toc183582214"/>
      <w:bookmarkStart w:id="67" w:name="_Toc79959171"/>
      <w:bookmarkStart w:id="68" w:name="_Toc217446042"/>
      <w:bookmarkStart w:id="69" w:name="_Toc2793"/>
      <w:bookmarkStart w:id="70" w:name="_Toc89075876"/>
      <w:bookmarkStart w:id="71" w:name="PO_默认文件内容_18"/>
      <w:r>
        <w:rPr>
          <w:rFonts w:hint="eastAsia" w:ascii="仿宋" w:hAnsi="仿宋" w:eastAsia="仿宋" w:cs="仿宋"/>
          <w:b/>
          <w:bCs/>
          <w:color w:val="auto"/>
          <w:kern w:val="2"/>
          <w:sz w:val="24"/>
          <w:szCs w:val="24"/>
          <w:highlight w:val="none"/>
          <w:lang w:val="en-US" w:eastAsia="zh-CN" w:bidi="ar-SA"/>
        </w:rPr>
        <w:t>本项目不组织答疑会和现场考察，但投标人自行考察现场所发生的一切费用由投标人自己承担。</w:t>
      </w:r>
    </w:p>
    <w:p w14:paraId="2AEDE0DA">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72" w:name="_Toc4623"/>
      <w:r>
        <w:rPr>
          <w:rFonts w:hint="eastAsia" w:ascii="仿宋" w:hAnsi="仿宋" w:eastAsia="仿宋" w:cs="仿宋"/>
          <w:b/>
          <w:bCs/>
          <w:color w:val="auto"/>
          <w:highlight w:val="none"/>
        </w:rPr>
        <w:t>四、投标文件</w:t>
      </w:r>
      <w:bookmarkEnd w:id="64"/>
      <w:bookmarkEnd w:id="65"/>
      <w:bookmarkEnd w:id="66"/>
      <w:bookmarkEnd w:id="67"/>
      <w:bookmarkEnd w:id="68"/>
      <w:bookmarkEnd w:id="69"/>
      <w:bookmarkEnd w:id="70"/>
      <w:bookmarkEnd w:id="72"/>
    </w:p>
    <w:p w14:paraId="20175434">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bookmarkStart w:id="73" w:name="_Toc183682352"/>
      <w:bookmarkStart w:id="74" w:name="_Toc217446043"/>
      <w:bookmarkStart w:id="75" w:name="_Toc183582215"/>
      <w:bookmarkStart w:id="76" w:name="_Toc79959172"/>
      <w:r>
        <w:rPr>
          <w:rFonts w:hint="eastAsia" w:ascii="仿宋" w:hAnsi="仿宋" w:eastAsia="仿宋"/>
          <w:b/>
          <w:bCs/>
          <w:color w:val="auto"/>
          <w:sz w:val="24"/>
        </w:rPr>
        <w:t>9．投标文件的语言</w:t>
      </w:r>
      <w:bookmarkEnd w:id="73"/>
      <w:bookmarkEnd w:id="74"/>
      <w:bookmarkEnd w:id="75"/>
      <w:r>
        <w:rPr>
          <w:rFonts w:hint="eastAsia" w:ascii="仿宋" w:hAnsi="仿宋" w:eastAsia="仿宋"/>
          <w:b/>
          <w:bCs/>
          <w:color w:val="auto"/>
          <w:sz w:val="24"/>
          <w:szCs w:val="24"/>
        </w:rPr>
        <w:t>（实质性要求）</w:t>
      </w:r>
      <w:bookmarkEnd w:id="76"/>
    </w:p>
    <w:p w14:paraId="21E6531F">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hint="eastAsia" w:ascii="仿宋" w:hAnsi="仿宋" w:eastAsia="仿宋"/>
          <w:color w:val="auto"/>
          <w:sz w:val="24"/>
          <w:lang w:eastAsia="zh-CN"/>
        </w:rPr>
      </w:pPr>
      <w:bookmarkStart w:id="77" w:name="_Toc183582216"/>
      <w:bookmarkStart w:id="78" w:name="_Toc217446044"/>
      <w:bookmarkStart w:id="79" w:name="_Toc183682353"/>
      <w:r>
        <w:rPr>
          <w:rFonts w:hint="eastAsia" w:ascii="仿宋" w:hAnsi="仿宋" w:eastAsia="仿宋"/>
          <w:color w:val="auto"/>
          <w:sz w:val="24"/>
        </w:rPr>
        <w:t>9.1 投标人提交的投标文件以及投标人与招标采购单位就有关投标的所有来往书面文件均须使用中文</w:t>
      </w:r>
      <w:r>
        <w:rPr>
          <w:rFonts w:hint="eastAsia" w:ascii="仿宋" w:hAnsi="仿宋" w:eastAsia="仿宋"/>
          <w:color w:val="auto"/>
          <w:sz w:val="24"/>
          <w:lang w:eastAsia="zh-CN"/>
        </w:rPr>
        <w:t>，</w:t>
      </w:r>
      <w:r>
        <w:rPr>
          <w:rFonts w:hint="eastAsia" w:ascii="仿宋" w:hAnsi="仿宋" w:eastAsia="仿宋" w:cs="仿宋"/>
          <w:b w:val="0"/>
          <w:bCs w:val="0"/>
          <w:color w:val="auto"/>
          <w:kern w:val="2"/>
          <w:sz w:val="24"/>
          <w:szCs w:val="24"/>
          <w:highlight w:val="none"/>
          <w:lang w:val="en-US" w:eastAsia="zh-CN" w:bidi="ar-SA"/>
        </w:rPr>
        <w:t>除对于一些行业标准、国家标准、国际标准等需要以非中文表述且不宜翻译为中文的以外。投标文件中如附有外文资料，必须逐一对应翻译成中文并加盖投标人单位公章后附在相关外文资料后面，否则，所提供的外文资料将可能被视为无效材料。（说明：投标人的法定代表人为外籍人士的，法定代表人的签字和护照除外。）</w:t>
      </w:r>
    </w:p>
    <w:p w14:paraId="11D0D025">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9.2 翻译的中文资料与外文资料如果出现差异和矛盾时，以中文为准。涉嫌虚假响应的按照相关法律法规处理。</w:t>
      </w:r>
    </w:p>
    <w:p w14:paraId="1BBCE10A">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s="宋体"/>
          <w:color w:val="auto"/>
          <w:sz w:val="24"/>
        </w:rPr>
      </w:pPr>
      <w:r>
        <w:rPr>
          <w:rFonts w:hint="eastAsia" w:ascii="仿宋" w:hAnsi="仿宋" w:eastAsia="仿宋" w:cs="宋体"/>
          <w:color w:val="auto"/>
          <w:sz w:val="24"/>
        </w:rPr>
        <w:t>9.3 如因未翻译而造成的废标，由投标人承担。</w:t>
      </w:r>
    </w:p>
    <w:p w14:paraId="4A48F3B3">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0" w:name="_Toc79959173"/>
      <w:r>
        <w:rPr>
          <w:rFonts w:hint="eastAsia" w:ascii="仿宋" w:hAnsi="仿宋" w:eastAsia="仿宋"/>
          <w:b/>
          <w:bCs/>
          <w:color w:val="auto"/>
          <w:sz w:val="24"/>
        </w:rPr>
        <w:t>10．计量单位</w:t>
      </w:r>
      <w:bookmarkEnd w:id="77"/>
      <w:bookmarkEnd w:id="78"/>
      <w:bookmarkEnd w:id="79"/>
      <w:r>
        <w:rPr>
          <w:rFonts w:hint="eastAsia" w:ascii="仿宋" w:hAnsi="仿宋" w:eastAsia="仿宋"/>
          <w:b/>
          <w:bCs/>
          <w:color w:val="auto"/>
          <w:sz w:val="24"/>
          <w:szCs w:val="24"/>
        </w:rPr>
        <w:t>（实质性要求）</w:t>
      </w:r>
      <w:bookmarkEnd w:id="80"/>
    </w:p>
    <w:p w14:paraId="6A7D88BF">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除招标文件中另有规定外，本次采购项目所有合同项下的投标均采用国家法定的计量单位。</w:t>
      </w:r>
    </w:p>
    <w:p w14:paraId="1F5935E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1" w:name="_Toc217446045"/>
      <w:bookmarkStart w:id="82" w:name="_Toc79959174"/>
      <w:r>
        <w:rPr>
          <w:rFonts w:hint="eastAsia" w:ascii="仿宋" w:hAnsi="仿宋" w:eastAsia="仿宋"/>
          <w:b/>
          <w:bCs/>
          <w:color w:val="auto"/>
          <w:sz w:val="24"/>
        </w:rPr>
        <w:t>11. 投标货币</w:t>
      </w:r>
      <w:bookmarkEnd w:id="81"/>
      <w:r>
        <w:rPr>
          <w:rFonts w:hint="eastAsia" w:ascii="仿宋" w:hAnsi="仿宋" w:eastAsia="仿宋"/>
          <w:b/>
          <w:bCs/>
          <w:color w:val="auto"/>
          <w:sz w:val="24"/>
        </w:rPr>
        <w:t>（实质性要求）</w:t>
      </w:r>
      <w:bookmarkEnd w:id="82"/>
    </w:p>
    <w:p w14:paraId="63B16A0C">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本次招标项目的投标均以人民币报价。</w:t>
      </w:r>
    </w:p>
    <w:p w14:paraId="2FC206B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3" w:name="_Toc79959175"/>
      <w:bookmarkStart w:id="84" w:name="_Toc217446046"/>
      <w:r>
        <w:rPr>
          <w:rFonts w:hint="eastAsia" w:ascii="仿宋" w:hAnsi="仿宋" w:eastAsia="仿宋"/>
          <w:b/>
          <w:bCs/>
          <w:color w:val="auto"/>
          <w:sz w:val="24"/>
        </w:rPr>
        <w:t>12. 联合体</w:t>
      </w:r>
      <w:bookmarkEnd w:id="83"/>
      <w:bookmarkEnd w:id="84"/>
      <w:r>
        <w:rPr>
          <w:rFonts w:hint="eastAsia" w:ascii="仿宋" w:hAnsi="仿宋" w:eastAsia="仿宋" w:cs="仿宋"/>
          <w:b/>
          <w:bCs/>
          <w:color w:val="auto"/>
          <w:kern w:val="2"/>
          <w:sz w:val="24"/>
          <w:szCs w:val="24"/>
          <w:highlight w:val="none"/>
          <w:lang w:val="en-US" w:eastAsia="zh-CN" w:bidi="ar-SA"/>
        </w:rPr>
        <w:t>（实质性要求）</w:t>
      </w:r>
    </w:p>
    <w:p w14:paraId="2BD786B0">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olor w:val="auto"/>
          <w:sz w:val="24"/>
          <w:lang w:val="en-US" w:eastAsia="zh-CN"/>
        </w:rPr>
      </w:pPr>
      <w:bookmarkStart w:id="85" w:name="_Toc79959176"/>
      <w:bookmarkStart w:id="86" w:name="_Toc308164797"/>
      <w:bookmarkStart w:id="87" w:name="_Toc217446047"/>
      <w:r>
        <w:rPr>
          <w:rFonts w:hint="eastAsia" w:ascii="仿宋" w:hAnsi="仿宋" w:eastAsia="仿宋"/>
          <w:color w:val="auto"/>
          <w:sz w:val="24"/>
          <w:lang w:val="en-US" w:eastAsia="zh-CN"/>
        </w:rPr>
        <w:t>本次招标活动</w:t>
      </w:r>
      <w:r>
        <w:rPr>
          <w:rFonts w:hint="eastAsia" w:ascii="仿宋" w:hAnsi="仿宋" w:eastAsia="仿宋"/>
          <w:b/>
          <w:bCs/>
          <w:color w:val="auto"/>
          <w:sz w:val="24"/>
          <w:lang w:val="en-US" w:eastAsia="zh-CN"/>
        </w:rPr>
        <w:t>不允许</w:t>
      </w:r>
      <w:r>
        <w:rPr>
          <w:rFonts w:hint="eastAsia" w:ascii="仿宋" w:hAnsi="仿宋" w:eastAsia="仿宋"/>
          <w:color w:val="auto"/>
          <w:sz w:val="24"/>
          <w:lang w:val="en-US" w:eastAsia="zh-CN"/>
        </w:rPr>
        <w:t>联合体投标。</w:t>
      </w:r>
    </w:p>
    <w:p w14:paraId="0F6C206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rPr>
        <w:t>13. 知识产权</w:t>
      </w:r>
      <w:bookmarkEnd w:id="85"/>
      <w:bookmarkEnd w:id="86"/>
      <w:bookmarkEnd w:id="87"/>
      <w:r>
        <w:rPr>
          <w:rFonts w:hint="eastAsia" w:ascii="仿宋" w:hAnsi="仿宋" w:eastAsia="仿宋"/>
          <w:b/>
          <w:bCs/>
          <w:color w:val="auto"/>
          <w:sz w:val="24"/>
          <w:lang w:eastAsia="zh-CN"/>
        </w:rPr>
        <w:t>（实质性要求）</w:t>
      </w:r>
    </w:p>
    <w:p w14:paraId="6D2046A9">
      <w:pPr>
        <w:pStyle w:val="9"/>
        <w:keepNext w:val="0"/>
        <w:keepLines w:val="0"/>
        <w:pageBreakBefore w:val="0"/>
        <w:widowControl w:val="0"/>
        <w:kinsoku/>
        <w:wordWrap/>
        <w:overflowPunct/>
        <w:topLinePunct w:val="0"/>
        <w:autoSpaceDE/>
        <w:autoSpaceDN/>
        <w:bidi w:val="0"/>
        <w:snapToGrid/>
        <w:spacing w:before="0" w:after="0" w:line="360" w:lineRule="auto"/>
        <w:ind w:firstLine="480" w:firstLineChars="200"/>
        <w:outlineLvl w:val="9"/>
        <w:rPr>
          <w:rFonts w:ascii="仿宋" w:hAnsi="仿宋" w:eastAsia="仿宋"/>
          <w:color w:val="auto"/>
          <w:szCs w:val="24"/>
        </w:rPr>
      </w:pPr>
      <w:r>
        <w:rPr>
          <w:rFonts w:hint="eastAsia" w:ascii="仿宋" w:hAnsi="仿宋" w:eastAsia="仿宋"/>
          <w:color w:val="auto"/>
          <w:szCs w:val="24"/>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809E02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rPr>
      </w:pPr>
      <w:r>
        <w:rPr>
          <w:rFonts w:hint="eastAsia" w:ascii="仿宋" w:hAnsi="仿宋" w:eastAsia="仿宋"/>
          <w:color w:val="auto"/>
          <w:sz w:val="24"/>
        </w:rPr>
        <w:t>13.2 招标人享有本项目实施过程中产生的知识成果及知识产权。</w:t>
      </w:r>
    </w:p>
    <w:p w14:paraId="0C1E25C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3</w:t>
      </w:r>
      <w:r>
        <w:rPr>
          <w:rFonts w:hint="eastAsia" w:ascii="仿宋" w:hAnsi="仿宋" w:eastAsia="仿宋"/>
          <w:color w:val="auto"/>
          <w:sz w:val="24"/>
        </w:rPr>
        <w:t xml:space="preserve"> </w:t>
      </w:r>
      <w:r>
        <w:rPr>
          <w:rFonts w:hint="eastAsia" w:ascii="仿宋" w:hAnsi="仿宋" w:eastAsia="仿宋" w:cs="仿宋"/>
          <w:b w:val="0"/>
          <w:bCs w:val="0"/>
          <w:color w:val="auto"/>
          <w:kern w:val="2"/>
          <w:sz w:val="24"/>
          <w:szCs w:val="24"/>
          <w:highlight w:val="none"/>
          <w:lang w:val="en-US" w:eastAsia="zh-CN" w:bidi="ar-SA"/>
        </w:rPr>
        <w:t>投标人如欲在项目实施过程中采用自有知识成果，需在投标文件中声明，并提供相关知识产权证明文件。使用该知识成果后，投标人需提供开发接口和开发手册等技术文档，并承诺提供无限期技术支持，招标人享有永久使用权（含招标人委托第三方在该项目后续开发的使用权）。</w:t>
      </w:r>
    </w:p>
    <w:p w14:paraId="54E1B477">
      <w:pPr>
        <w:keepNext w:val="0"/>
        <w:keepLines w:val="0"/>
        <w:pageBreakBefore w:val="0"/>
        <w:widowControl w:val="0"/>
        <w:kinsoku/>
        <w:wordWrap/>
        <w:overflowPunct/>
        <w:topLinePunct w:val="0"/>
        <w:autoSpaceDE/>
        <w:autoSpaceDN/>
        <w:bidi w:val="0"/>
        <w:snapToGrid/>
        <w:spacing w:after="0" w:line="360" w:lineRule="auto"/>
        <w:ind w:firstLine="460" w:firstLineChars="192"/>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4</w:t>
      </w:r>
      <w:r>
        <w:rPr>
          <w:rFonts w:hint="eastAsia" w:ascii="仿宋" w:hAnsi="仿宋" w:eastAsia="仿宋"/>
          <w:color w:val="auto"/>
          <w:sz w:val="24"/>
        </w:rPr>
        <w:t xml:space="preserve">如采用投标人所不拥有的知识产权，则在投标报价中必须包括合法获取该知识产权的相关费用。 </w:t>
      </w:r>
    </w:p>
    <w:p w14:paraId="05FDF00A">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8" w:name="_Toc217446048"/>
      <w:bookmarkStart w:id="89" w:name="_Toc308164798"/>
      <w:bookmarkStart w:id="90" w:name="_Toc183582217"/>
      <w:bookmarkStart w:id="91" w:name="_Toc79959177"/>
      <w:bookmarkStart w:id="92" w:name="_Toc183682354"/>
      <w:r>
        <w:rPr>
          <w:rFonts w:hint="eastAsia" w:ascii="仿宋" w:hAnsi="仿宋" w:eastAsia="仿宋"/>
          <w:b/>
          <w:bCs/>
          <w:color w:val="auto"/>
          <w:sz w:val="24"/>
        </w:rPr>
        <w:t>14．投标文件的组成</w:t>
      </w:r>
      <w:bookmarkEnd w:id="88"/>
      <w:bookmarkEnd w:id="89"/>
      <w:bookmarkEnd w:id="90"/>
      <w:bookmarkEnd w:id="91"/>
      <w:bookmarkEnd w:id="92"/>
    </w:p>
    <w:p w14:paraId="5A0F6DB1">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投标人应按照招标文件的规定和要求编制投标文件。投标人编写的投标文件应至少包括：</w:t>
      </w:r>
      <w:r>
        <w:rPr>
          <w:rFonts w:hint="eastAsia" w:ascii="仿宋" w:hAnsi="仿宋" w:eastAsia="仿宋"/>
          <w:b/>
          <w:bCs/>
          <w:color w:val="auto"/>
          <w:sz w:val="24"/>
          <w:lang w:eastAsia="zh-CN"/>
        </w:rPr>
        <w:t>资格技术投标文件、开标一览表、投标文件电子档。</w:t>
      </w:r>
    </w:p>
    <w:p w14:paraId="7AD6F0A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color w:val="auto"/>
          <w:sz w:val="24"/>
          <w:lang w:eastAsia="zh-CN"/>
        </w:rPr>
      </w:pPr>
      <w:r>
        <w:rPr>
          <w:rFonts w:hint="eastAsia" w:ascii="仿宋" w:hAnsi="仿宋" w:eastAsia="仿宋"/>
          <w:b/>
          <w:color w:val="auto"/>
          <w:sz w:val="24"/>
          <w:lang w:val="en-US" w:eastAsia="zh-CN"/>
        </w:rPr>
        <w:t>14.1</w:t>
      </w:r>
      <w:r>
        <w:rPr>
          <w:rFonts w:hint="eastAsia" w:ascii="仿宋" w:hAnsi="仿宋" w:eastAsia="仿宋"/>
          <w:b/>
          <w:color w:val="auto"/>
          <w:sz w:val="24"/>
        </w:rPr>
        <w:t>文件一：</w:t>
      </w:r>
      <w:r>
        <w:rPr>
          <w:rFonts w:hint="eastAsia" w:ascii="仿宋" w:hAnsi="仿宋" w:eastAsia="仿宋"/>
          <w:b/>
          <w:color w:val="auto"/>
          <w:sz w:val="24"/>
          <w:lang w:eastAsia="zh-CN"/>
        </w:rPr>
        <w:t>资格技术</w:t>
      </w:r>
      <w:r>
        <w:rPr>
          <w:rFonts w:hint="eastAsia" w:ascii="仿宋" w:hAnsi="仿宋" w:eastAsia="仿宋"/>
          <w:b/>
          <w:color w:val="auto"/>
          <w:sz w:val="24"/>
        </w:rPr>
        <w:t>投标文件</w:t>
      </w:r>
      <w:r>
        <w:rPr>
          <w:rFonts w:hint="eastAsia" w:ascii="仿宋" w:hAnsi="仿宋" w:eastAsia="仿宋"/>
          <w:b/>
          <w:color w:val="auto"/>
          <w:sz w:val="24"/>
          <w:lang w:eastAsia="zh-CN"/>
        </w:rPr>
        <w:t>（实质性要求）</w:t>
      </w:r>
    </w:p>
    <w:p w14:paraId="3A1761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lang w:eastAsia="zh-CN"/>
        </w:rPr>
        <w:t>（</w:t>
      </w:r>
      <w:r>
        <w:rPr>
          <w:rFonts w:hint="eastAsia" w:ascii="仿宋" w:hAnsi="仿宋" w:eastAsia="仿宋"/>
          <w:b/>
          <w:bCs/>
          <w:color w:val="auto"/>
          <w:sz w:val="24"/>
          <w:lang w:val="en-US" w:eastAsia="zh-CN"/>
        </w:rPr>
        <w:t>一</w:t>
      </w:r>
      <w:r>
        <w:rPr>
          <w:rFonts w:hint="eastAsia" w:ascii="仿宋" w:hAnsi="仿宋" w:eastAsia="仿宋"/>
          <w:b/>
          <w:bCs/>
          <w:color w:val="auto"/>
          <w:sz w:val="24"/>
          <w:lang w:eastAsia="zh-CN"/>
        </w:rPr>
        <w:t>）</w:t>
      </w:r>
      <w:r>
        <w:rPr>
          <w:rFonts w:hint="eastAsia" w:ascii="仿宋" w:hAnsi="仿宋" w:eastAsia="仿宋" w:cs="仿宋"/>
          <w:b/>
          <w:bCs/>
          <w:color w:val="auto"/>
          <w:sz w:val="24"/>
          <w:szCs w:val="24"/>
          <w:highlight w:val="none"/>
          <w:lang w:val="en-US" w:eastAsia="zh-CN"/>
        </w:rPr>
        <w:t>（实质性要求）</w:t>
      </w:r>
      <w:r>
        <w:rPr>
          <w:rFonts w:hint="eastAsia" w:ascii="仿宋" w:hAnsi="仿宋" w:eastAsia="仿宋"/>
          <w:b/>
          <w:bCs/>
          <w:color w:val="auto"/>
          <w:sz w:val="24"/>
          <w:lang w:eastAsia="zh-CN"/>
        </w:rPr>
        <w:t>资格部分：</w:t>
      </w:r>
      <w:r>
        <w:rPr>
          <w:rFonts w:hint="eastAsia" w:ascii="仿宋" w:hAnsi="仿宋" w:eastAsia="仿宋"/>
          <w:color w:val="auto"/>
          <w:sz w:val="24"/>
        </w:rPr>
        <w:t>严格按照第四、五章要求提供相关资格、资质性及其他类似效力要求的相关证明材料。</w:t>
      </w:r>
      <w:r>
        <w:rPr>
          <w:rFonts w:hint="eastAsia" w:ascii="仿宋" w:hAnsi="仿宋" w:eastAsia="仿宋" w:cs="仿宋"/>
          <w:b w:val="0"/>
          <w:bCs w:val="0"/>
          <w:color w:val="auto"/>
          <w:sz w:val="24"/>
          <w:szCs w:val="24"/>
          <w:highlight w:val="none"/>
          <w:lang w:val="en-US" w:eastAsia="zh-CN"/>
        </w:rPr>
        <w:t>（格式详见第三章）</w:t>
      </w:r>
    </w:p>
    <w:p w14:paraId="4152736B">
      <w:pPr>
        <w:pStyle w:val="10"/>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color w:val="auto"/>
          <w:sz w:val="24"/>
          <w:szCs w:val="24"/>
        </w:rPr>
      </w:pPr>
      <w:r>
        <w:rPr>
          <w:rFonts w:hint="eastAsia" w:ascii="仿宋" w:hAnsi="仿宋" w:eastAsia="仿宋"/>
          <w:b/>
          <w:bCs/>
          <w:color w:val="auto"/>
          <w:sz w:val="24"/>
          <w:lang w:eastAsia="zh-CN"/>
        </w:rPr>
        <w:t>（二）</w:t>
      </w:r>
      <w:r>
        <w:rPr>
          <w:rFonts w:hint="eastAsia" w:ascii="仿宋" w:hAnsi="仿宋" w:eastAsia="仿宋" w:cs="仿宋"/>
          <w:b/>
          <w:bCs/>
          <w:color w:val="auto"/>
          <w:sz w:val="24"/>
          <w:szCs w:val="24"/>
        </w:rPr>
        <w:t>技术部分：</w:t>
      </w:r>
    </w:p>
    <w:p w14:paraId="1438B309">
      <w:pPr>
        <w:pStyle w:val="10"/>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）投标产品相关资料：（投标人根据自身投标产品信息提供，格式自拟）</w:t>
      </w:r>
    </w:p>
    <w:p w14:paraId="1CE270D6">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w:t>
      </w:r>
      <w:r>
        <w:rPr>
          <w:rFonts w:hint="eastAsia" w:ascii="仿宋" w:hAnsi="仿宋" w:eastAsia="仿宋" w:cs="仿宋"/>
          <w:color w:val="auto"/>
          <w:sz w:val="24"/>
          <w:szCs w:val="24"/>
          <w:lang w:eastAsia="zh-CN"/>
        </w:rPr>
        <w:t>投标产品的制造商、品牌、规格型号、配置（包括详细的技术指标和参数）；</w:t>
      </w:r>
    </w:p>
    <w:p w14:paraId="35FB2199">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②</w:t>
      </w:r>
      <w:r>
        <w:rPr>
          <w:rFonts w:hint="eastAsia" w:ascii="仿宋" w:hAnsi="仿宋" w:eastAsia="仿宋" w:cs="仿宋"/>
          <w:color w:val="auto"/>
          <w:sz w:val="24"/>
          <w:szCs w:val="24"/>
          <w:lang w:eastAsia="zh-CN"/>
        </w:rPr>
        <w:t>产品验收标准和验收方法；</w:t>
      </w:r>
    </w:p>
    <w:p w14:paraId="340B8E71">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③</w:t>
      </w:r>
      <w:r>
        <w:rPr>
          <w:rFonts w:hint="eastAsia" w:ascii="仿宋" w:hAnsi="仿宋" w:eastAsia="仿宋" w:cs="仿宋"/>
          <w:color w:val="auto"/>
          <w:sz w:val="24"/>
          <w:szCs w:val="24"/>
          <w:lang w:eastAsia="zh-CN"/>
        </w:rPr>
        <w:t>产品验收清单（注明各部件的品名、数量、价格、规格型号和原产地或制造商）。</w:t>
      </w:r>
    </w:p>
    <w:p w14:paraId="2CA6586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售后服务相关资料</w:t>
      </w:r>
      <w:r>
        <w:rPr>
          <w:rFonts w:hint="eastAsia" w:ascii="仿宋_GB2312" w:hAnsi="仿宋_GB2312" w:eastAsia="仿宋_GB2312" w:cs="仿宋_GB2312"/>
          <w:color w:val="auto"/>
          <w:spacing w:val="6"/>
          <w:sz w:val="24"/>
        </w:rPr>
        <w:fldChar w:fldCharType="begin"/>
      </w:r>
      <w:r>
        <w:rPr>
          <w:rFonts w:hint="eastAsia" w:ascii="仿宋_GB2312" w:hAnsi="仿宋_GB2312" w:eastAsia="仿宋_GB2312" w:cs="仿宋_GB2312"/>
          <w:color w:val="auto"/>
          <w:spacing w:val="6"/>
          <w:sz w:val="24"/>
        </w:rPr>
        <w:instrText xml:space="preserve"> HYPERLINK \l "供应商基本情况表" </w:instrText>
      </w:r>
      <w:r>
        <w:rPr>
          <w:rFonts w:hint="eastAsia" w:ascii="仿宋_GB2312" w:hAnsi="仿宋_GB2312" w:eastAsia="仿宋_GB2312" w:cs="仿宋_GB2312"/>
          <w:color w:val="auto"/>
          <w:spacing w:val="6"/>
          <w:sz w:val="24"/>
        </w:rPr>
        <w:fldChar w:fldCharType="separate"/>
      </w:r>
      <w:r>
        <w:rPr>
          <w:rFonts w:hint="eastAsia" w:ascii="仿宋_GB2312" w:hAnsi="仿宋_GB2312" w:eastAsia="仿宋_GB2312" w:cs="仿宋_GB2312"/>
          <w:color w:val="auto"/>
          <w:spacing w:val="6"/>
          <w:sz w:val="24"/>
        </w:rPr>
        <w:t>（</w:t>
      </w:r>
      <w:r>
        <w:rPr>
          <w:rFonts w:hint="eastAsia" w:ascii="仿宋_GB2312" w:hAnsi="仿宋_GB2312" w:eastAsia="仿宋_GB2312" w:cs="仿宋_GB2312"/>
          <w:color w:val="auto"/>
          <w:spacing w:val="6"/>
          <w:sz w:val="24"/>
          <w:lang w:eastAsia="zh-CN"/>
        </w:rPr>
        <w:t>格式自拟）</w:t>
      </w:r>
      <w:r>
        <w:rPr>
          <w:rFonts w:hint="eastAsia" w:ascii="仿宋_GB2312" w:hAnsi="仿宋_GB2312" w:eastAsia="仿宋_GB2312" w:cs="仿宋_GB2312"/>
          <w:color w:val="auto"/>
          <w:spacing w:val="6"/>
          <w:sz w:val="24"/>
        </w:rPr>
        <w:fldChar w:fldCharType="end"/>
      </w:r>
    </w:p>
    <w:p w14:paraId="0CD69D36">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val="en-US" w:eastAsia="zh-CN"/>
        </w:rPr>
        <w:t>技术方案或项目实施方案</w:t>
      </w:r>
      <w:r>
        <w:rPr>
          <w:rFonts w:hint="eastAsia" w:ascii="仿宋" w:hAnsi="仿宋" w:eastAsia="仿宋" w:cs="仿宋"/>
          <w:color w:val="auto"/>
          <w:sz w:val="24"/>
          <w:szCs w:val="24"/>
          <w:lang w:eastAsia="zh-CN"/>
        </w:rPr>
        <w:t>（格式详见第三章）</w:t>
      </w:r>
    </w:p>
    <w:p w14:paraId="7AF1615E">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eastAsia="zh-CN"/>
        </w:rPr>
        <w:t>技术要求</w:t>
      </w:r>
      <w:r>
        <w:rPr>
          <w:rFonts w:hint="eastAsia" w:ascii="仿宋_GB2312" w:hAnsi="仿宋_GB2312" w:eastAsia="仿宋_GB2312" w:cs="仿宋_GB2312"/>
          <w:color w:val="auto"/>
          <w:spacing w:val="6"/>
          <w:sz w:val="24"/>
        </w:rPr>
        <w:t>应答表</w:t>
      </w:r>
      <w:r>
        <w:rPr>
          <w:rFonts w:hint="eastAsia" w:ascii="仿宋" w:hAnsi="仿宋" w:eastAsia="仿宋" w:cs="仿宋"/>
          <w:color w:val="auto"/>
          <w:sz w:val="24"/>
          <w:szCs w:val="24"/>
          <w:lang w:eastAsia="zh-CN"/>
        </w:rPr>
        <w:t>（格式详见第三章）</w:t>
      </w:r>
    </w:p>
    <w:p w14:paraId="4364C542">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仿宋"/>
          <w:color w:val="auto"/>
          <w:sz w:val="24"/>
          <w:szCs w:val="24"/>
          <w:lang w:eastAsia="zh-CN"/>
        </w:rPr>
        <w:t>主要人员情况表。（格式详见第三章</w:t>
      </w:r>
      <w:r>
        <w:rPr>
          <w:rFonts w:hint="eastAsia" w:ascii="仿宋" w:hAnsi="仿宋" w:eastAsia="仿宋" w:cs="仿宋"/>
          <w:color w:val="auto"/>
          <w:sz w:val="24"/>
          <w:szCs w:val="24"/>
          <w:lang w:val="en-US" w:eastAsia="zh-CN"/>
        </w:rPr>
        <w:t>）</w:t>
      </w:r>
    </w:p>
    <w:p w14:paraId="4B4720D2">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Times New Roman"/>
          <w:color w:val="auto"/>
          <w:sz w:val="24"/>
          <w:lang w:eastAsia="zh-CN"/>
        </w:rPr>
        <w:t>承诺函。（格式详见第三章承诺函</w:t>
      </w:r>
      <w:r>
        <w:rPr>
          <w:rFonts w:hint="eastAsia" w:ascii="仿宋" w:hAnsi="仿宋" w:eastAsia="仿宋" w:cs="Times New Roman"/>
          <w:color w:val="auto"/>
          <w:sz w:val="24"/>
          <w:lang w:val="en-US" w:eastAsia="zh-CN"/>
        </w:rPr>
        <w:t>2</w:t>
      </w:r>
      <w:r>
        <w:rPr>
          <w:rFonts w:hint="eastAsia" w:ascii="仿宋" w:hAnsi="仿宋" w:eastAsia="仿宋" w:cs="Times New Roman"/>
          <w:color w:val="auto"/>
          <w:sz w:val="24"/>
          <w:lang w:eastAsia="zh-CN"/>
        </w:rPr>
        <w:t>）</w:t>
      </w:r>
    </w:p>
    <w:p w14:paraId="08AE62EE">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eastAsia="zh-CN"/>
        </w:rPr>
        <w:t>投标函。（格式详见第三章）</w:t>
      </w:r>
    </w:p>
    <w:p w14:paraId="5127F8A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投标人基本情况表。（格式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4FF0ED5C">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Times New Roman"/>
          <w:color w:val="auto"/>
          <w:sz w:val="24"/>
        </w:rPr>
        <w:t>商务应答表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p>
    <w:p w14:paraId="032A8FB0">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b w:val="0"/>
          <w:bCs/>
          <w:color w:val="auto"/>
          <w:sz w:val="24"/>
        </w:rPr>
      </w:pPr>
      <w:r>
        <w:rPr>
          <w:rFonts w:hint="eastAsia" w:ascii="仿宋" w:hAnsi="仿宋" w:eastAsia="仿宋" w:cs="仿宋"/>
          <w:b w:val="0"/>
          <w:bCs/>
          <w:color w:val="auto"/>
          <w:sz w:val="24"/>
          <w:szCs w:val="24"/>
          <w:lang w:eastAsia="zh-CN"/>
        </w:rPr>
        <w:t>投标人类似项目业绩一览表。（格式详见第三章）</w:t>
      </w:r>
    </w:p>
    <w:p w14:paraId="2686D1E3">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color w:val="auto"/>
          <w:sz w:val="24"/>
          <w:szCs w:val="24"/>
          <w:lang w:eastAsia="zh-CN"/>
        </w:rPr>
        <w:t>招标文件第七章综合评分明细表内要求提供的相关证明材料</w:t>
      </w:r>
      <w:r>
        <w:rPr>
          <w:rFonts w:hint="eastAsia" w:ascii="仿宋" w:hAnsi="仿宋" w:eastAsia="仿宋" w:cs="仿宋"/>
          <w:b w:val="0"/>
          <w:bCs/>
          <w:color w:val="auto"/>
          <w:sz w:val="24"/>
          <w:szCs w:val="24"/>
          <w:lang w:val="en-US" w:eastAsia="zh-CN"/>
        </w:rPr>
        <w:t>。</w:t>
      </w:r>
      <w:r>
        <w:rPr>
          <w:rFonts w:hint="eastAsia" w:ascii="仿宋" w:hAnsi="仿宋" w:eastAsia="仿宋" w:cs="仿宋"/>
          <w:b w:val="0"/>
          <w:bCs/>
          <w:color w:val="auto"/>
          <w:sz w:val="24"/>
          <w:szCs w:val="24"/>
          <w:lang w:eastAsia="zh-CN"/>
        </w:rPr>
        <w:t>（如未提供则不得分，未提供不影响投标文件有效性）</w:t>
      </w:r>
    </w:p>
    <w:p w14:paraId="4A903EBD">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投标人认为需要提供的文件和资料。（如不涉及，未提供不影响投标文件有效性）</w:t>
      </w:r>
    </w:p>
    <w:p w14:paraId="7929476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lang w:eastAsia="zh-CN"/>
        </w:rPr>
      </w:pPr>
      <w:bookmarkStart w:id="93" w:name="_Toc183682355"/>
      <w:bookmarkStart w:id="94" w:name="_Toc217446049"/>
      <w:bookmarkStart w:id="95" w:name="_Toc183582218"/>
      <w:bookmarkStart w:id="96" w:name="_Toc79959178"/>
      <w:bookmarkStart w:id="97" w:name="_Toc308164799"/>
      <w:r>
        <w:rPr>
          <w:rFonts w:hint="eastAsia" w:ascii="仿宋" w:hAnsi="仿宋" w:eastAsia="仿宋" w:cs="Times New Roman"/>
          <w:b/>
          <w:bCs/>
          <w:color w:val="auto"/>
          <w:sz w:val="24"/>
          <w:lang w:val="en-US" w:eastAsia="zh-CN"/>
        </w:rPr>
        <w:t>14.2</w:t>
      </w:r>
      <w:r>
        <w:rPr>
          <w:rFonts w:hint="eastAsia" w:ascii="仿宋" w:hAnsi="仿宋" w:eastAsia="仿宋" w:cs="Times New Roman"/>
          <w:b/>
          <w:bCs/>
          <w:color w:val="auto"/>
          <w:sz w:val="24"/>
          <w:lang w:eastAsia="zh-CN"/>
        </w:rPr>
        <w:t>文件二：开标一览表</w:t>
      </w:r>
    </w:p>
    <w:p w14:paraId="38B97608">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投标人按照招标文件要求填写的“开标一览表”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w:t>
      </w:r>
    </w:p>
    <w:p w14:paraId="284B423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本次招标报价要求：</w:t>
      </w:r>
    </w:p>
    <w:p w14:paraId="4B72632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（1）投标人的报价是投标人响应招标项目要求的全部工作内容的价格体现，包括投标人完成本项目所需的一切费用。</w:t>
      </w:r>
      <w:r>
        <w:rPr>
          <w:rFonts w:hint="eastAsia" w:ascii="仿宋" w:hAnsi="仿宋" w:eastAsia="仿宋" w:cs="Times New Roman"/>
          <w:b/>
          <w:bCs/>
          <w:color w:val="auto"/>
          <w:sz w:val="24"/>
        </w:rPr>
        <w:t>（实质性要求）</w:t>
      </w:r>
    </w:p>
    <w:p w14:paraId="4FB6326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（2）投标人只允许有一个报价，并且在合同履行过程中是固定不变的，任何有选择或可调整的报价将不予接受，并按无效投标处理。</w:t>
      </w:r>
      <w:r>
        <w:rPr>
          <w:rFonts w:hint="eastAsia" w:ascii="仿宋" w:hAnsi="仿宋" w:eastAsia="仿宋" w:cs="Times New Roman"/>
          <w:b/>
          <w:bCs/>
          <w:color w:val="auto"/>
          <w:sz w:val="24"/>
        </w:rPr>
        <w:t>（实质性要求）</w:t>
      </w:r>
    </w:p>
    <w:p w14:paraId="2E0DBD9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lang w:val="en-US" w:eastAsia="zh-CN"/>
        </w:rPr>
        <w:t>14.3</w:t>
      </w:r>
      <w:r>
        <w:rPr>
          <w:rFonts w:hint="eastAsia" w:ascii="仿宋" w:hAnsi="仿宋" w:eastAsia="仿宋" w:cs="Times New Roman"/>
          <w:b/>
          <w:bCs/>
          <w:color w:val="auto"/>
          <w:sz w:val="24"/>
        </w:rPr>
        <w:t>文件三：投标文件电子档</w:t>
      </w:r>
    </w:p>
    <w:p w14:paraId="620B602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（1）投标文件电子档应当包含资格</w:t>
      </w:r>
      <w:r>
        <w:rPr>
          <w:rFonts w:hint="eastAsia" w:ascii="仿宋" w:hAnsi="仿宋" w:eastAsia="仿宋" w:cs="Times New Roman"/>
          <w:b w:val="0"/>
          <w:bCs w:val="0"/>
          <w:color w:val="auto"/>
          <w:sz w:val="24"/>
          <w:lang w:eastAsia="zh-CN"/>
        </w:rPr>
        <w:t>技术</w:t>
      </w:r>
      <w:r>
        <w:rPr>
          <w:rFonts w:hint="eastAsia" w:ascii="仿宋" w:hAnsi="仿宋" w:eastAsia="仿宋" w:cs="Times New Roman"/>
          <w:b w:val="0"/>
          <w:bCs w:val="0"/>
          <w:color w:val="auto"/>
          <w:sz w:val="24"/>
        </w:rPr>
        <w:t>投标文件。</w:t>
      </w:r>
    </w:p>
    <w:p w14:paraId="6DA68C3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2）电子档制作的参考方法：采用U盘制作。投标文件纸质版正本按照招标文件要求制作完毕后（签字盖章完毕并检查无误），按页码逐页（包括封面）进行彩色扫描，扫描形成的图像文件依序制作成一个PDF格式文件。</w:t>
      </w:r>
    </w:p>
    <w:p w14:paraId="54AC68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15</w:t>
      </w:r>
      <w:r>
        <w:rPr>
          <w:rFonts w:hint="eastAsia" w:ascii="仿宋" w:hAnsi="仿宋" w:eastAsia="仿宋" w:cs="Times New Roman"/>
          <w:b/>
          <w:bCs/>
          <w:color w:val="auto"/>
          <w:sz w:val="24"/>
          <w:lang w:val="en-US" w:eastAsia="zh-CN"/>
        </w:rPr>
        <w:t>.</w:t>
      </w:r>
      <w:r>
        <w:rPr>
          <w:rFonts w:hint="eastAsia" w:ascii="仿宋" w:hAnsi="仿宋" w:eastAsia="仿宋" w:cs="Times New Roman"/>
          <w:b/>
          <w:bCs/>
          <w:color w:val="auto"/>
          <w:sz w:val="24"/>
        </w:rPr>
        <w:t>投标文件格式</w:t>
      </w:r>
      <w:bookmarkEnd w:id="93"/>
      <w:bookmarkEnd w:id="94"/>
      <w:bookmarkEnd w:id="95"/>
      <w:bookmarkEnd w:id="96"/>
      <w:bookmarkEnd w:id="97"/>
    </w:p>
    <w:p w14:paraId="13C792E9">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 xml:space="preserve">15.1 </w:t>
      </w:r>
      <w:r>
        <w:rPr>
          <w:rFonts w:hint="eastAsia" w:ascii="仿宋" w:hAnsi="仿宋" w:eastAsia="仿宋" w:cs="Times New Roman"/>
          <w:color w:val="auto"/>
          <w:sz w:val="24"/>
          <w:lang w:val="en-US" w:eastAsia="zh-CN"/>
        </w:rPr>
        <w:t>投标人应执行招标文件第三章的规定要求。</w:t>
      </w:r>
    </w:p>
    <w:p w14:paraId="3F0C63F6">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15.2 对于没有格式要求的投标文件由投标人自行编写。</w:t>
      </w:r>
    </w:p>
    <w:p w14:paraId="6BBC07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rPr>
      </w:pPr>
      <w:bookmarkStart w:id="98" w:name="_Toc308164801"/>
      <w:bookmarkStart w:id="99" w:name="_Toc183582224"/>
      <w:bookmarkStart w:id="100" w:name="_Toc183682361"/>
      <w:bookmarkStart w:id="101" w:name="_Toc217446051"/>
      <w:bookmarkStart w:id="102" w:name="_Toc79959180"/>
      <w:r>
        <w:rPr>
          <w:rFonts w:hint="eastAsia" w:ascii="仿宋" w:hAnsi="仿宋" w:eastAsia="仿宋"/>
          <w:b/>
          <w:bCs/>
          <w:color w:val="auto"/>
          <w:sz w:val="24"/>
        </w:rPr>
        <w:t>16．投标保证金（实质性要求）</w:t>
      </w:r>
    </w:p>
    <w:p w14:paraId="2B11EE65">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lang w:eastAsia="zh-CN"/>
        </w:rPr>
        <w:t>本项目不收取投标保证金。</w:t>
      </w:r>
    </w:p>
    <w:p w14:paraId="49772C2D">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r>
        <w:rPr>
          <w:rFonts w:hint="eastAsia" w:ascii="仿宋" w:hAnsi="仿宋" w:eastAsia="仿宋"/>
          <w:b/>
          <w:bCs/>
          <w:color w:val="auto"/>
          <w:sz w:val="24"/>
        </w:rPr>
        <w:t>17．投标有效期</w:t>
      </w:r>
      <w:bookmarkEnd w:id="98"/>
      <w:bookmarkEnd w:id="99"/>
      <w:bookmarkEnd w:id="100"/>
      <w:bookmarkEnd w:id="101"/>
      <w:r>
        <w:rPr>
          <w:rFonts w:hint="eastAsia" w:ascii="仿宋" w:hAnsi="仿宋" w:eastAsia="仿宋"/>
          <w:b/>
          <w:bCs/>
          <w:color w:val="auto"/>
          <w:sz w:val="24"/>
          <w:szCs w:val="24"/>
        </w:rPr>
        <w:t>（实质性要求）</w:t>
      </w:r>
      <w:bookmarkEnd w:id="102"/>
    </w:p>
    <w:p w14:paraId="4597DCB0">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bookmarkStart w:id="103" w:name="_Toc79959181"/>
      <w:bookmarkStart w:id="104" w:name="_Toc183682362"/>
      <w:bookmarkStart w:id="105" w:name="_Toc183582225"/>
      <w:bookmarkStart w:id="106" w:name="_Toc308164802"/>
      <w:bookmarkStart w:id="107" w:name="_Toc217446052"/>
      <w:r>
        <w:rPr>
          <w:rFonts w:hint="eastAsia" w:ascii="仿宋" w:hAnsi="仿宋" w:eastAsia="仿宋" w:cs="Times New Roman"/>
          <w:color w:val="auto"/>
          <w:sz w:val="24"/>
        </w:rPr>
        <w:t>17.1 本项目投标有效期为</w:t>
      </w:r>
      <w:r>
        <w:rPr>
          <w:rFonts w:hint="eastAsia" w:ascii="仿宋" w:hAnsi="仿宋" w:eastAsia="仿宋" w:cs="Times New Roman"/>
          <w:color w:val="auto"/>
          <w:sz w:val="24"/>
          <w:lang w:eastAsia="zh-CN"/>
        </w:rPr>
        <w:t>递交投标</w:t>
      </w:r>
      <w:r>
        <w:rPr>
          <w:rFonts w:hint="eastAsia" w:ascii="仿宋" w:hAnsi="仿宋" w:eastAsia="仿宋" w:cs="Times New Roman"/>
          <w:color w:val="auto"/>
          <w:sz w:val="24"/>
        </w:rPr>
        <w:t>文件截止之日起</w:t>
      </w:r>
      <w:r>
        <w:rPr>
          <w:rFonts w:hint="eastAsia" w:ascii="仿宋" w:hAnsi="仿宋" w:eastAsia="仿宋" w:cs="Times New Roman"/>
          <w:color w:val="auto"/>
          <w:sz w:val="24"/>
          <w:u w:val="single"/>
          <w:lang w:val="en-US" w:eastAsia="zh-CN"/>
        </w:rPr>
        <w:t xml:space="preserve"> 90 </w:t>
      </w:r>
      <w:r>
        <w:rPr>
          <w:rFonts w:hint="eastAsia" w:ascii="仿宋" w:hAnsi="仿宋" w:eastAsia="仿宋" w:cs="Times New Roman"/>
          <w:color w:val="auto"/>
          <w:sz w:val="24"/>
        </w:rPr>
        <w:t>天。投标人投标文件中必须载明投标有效期，</w:t>
      </w:r>
      <w:r>
        <w:rPr>
          <w:rFonts w:hint="eastAsia" w:ascii="仿宋" w:hAnsi="仿宋" w:eastAsia="仿宋" w:cs="Times New Roman"/>
          <w:color w:val="auto"/>
          <w:sz w:val="24"/>
          <w:lang w:eastAsia="zh-CN"/>
        </w:rPr>
        <w:t>投标文件中承诺的投标有效期应当不少于招标文件中载明的投标有效期。</w:t>
      </w:r>
    </w:p>
    <w:p w14:paraId="0C9E2351">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2 因不可抗力事件，</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 xml:space="preserve">可以自主决定是否可以给予适当补偿。投标人同意延长投标有效期的，不能修改投标文件。 </w:t>
      </w:r>
    </w:p>
    <w:p w14:paraId="25DB5F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3 因</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采购需求作出必要调整，</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应当予以赔偿或者合理补偿。投标人同意延长投标有效期的，不能修改投标文件。</w:t>
      </w:r>
    </w:p>
    <w:p w14:paraId="25A69F13">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18．投标文件的印制和签署</w:t>
      </w:r>
      <w:bookmarkEnd w:id="103"/>
      <w:bookmarkEnd w:id="104"/>
      <w:bookmarkEnd w:id="105"/>
      <w:bookmarkEnd w:id="106"/>
      <w:bookmarkEnd w:id="107"/>
    </w:p>
    <w:p w14:paraId="58D6AA8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lang w:val="en-US" w:eastAsia="zh-CN"/>
        </w:rPr>
      </w:pPr>
      <w:bookmarkStart w:id="108" w:name="_Toc89075877"/>
      <w:bookmarkStart w:id="109" w:name="_Toc183682363"/>
      <w:bookmarkStart w:id="110" w:name="_Toc77400781"/>
      <w:bookmarkStart w:id="111" w:name="_Toc183582226"/>
      <w:bookmarkStart w:id="112" w:name="_Toc79959182"/>
      <w:bookmarkStart w:id="113" w:name="_Toc217446053"/>
      <w:bookmarkStart w:id="114" w:name="_Toc308164803"/>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1</w:t>
      </w:r>
      <w:r>
        <w:rPr>
          <w:rFonts w:hint="eastAsia" w:ascii="仿宋" w:hAnsi="仿宋" w:eastAsia="仿宋" w:cs="Times New Roman"/>
          <w:b/>
          <w:bCs/>
          <w:color w:val="auto"/>
          <w:sz w:val="24"/>
        </w:rPr>
        <w:t>资格</w:t>
      </w:r>
      <w:r>
        <w:rPr>
          <w:rFonts w:hint="eastAsia" w:ascii="仿宋" w:hAnsi="仿宋" w:eastAsia="仿宋" w:cs="Times New Roman"/>
          <w:b/>
          <w:bCs/>
          <w:color w:val="auto"/>
          <w:sz w:val="24"/>
          <w:lang w:eastAsia="zh-CN"/>
        </w:rPr>
        <w:t>技术</w:t>
      </w:r>
      <w:r>
        <w:rPr>
          <w:rFonts w:hint="eastAsia" w:ascii="仿宋" w:hAnsi="仿宋" w:eastAsia="仿宋" w:cs="Times New Roman"/>
          <w:b/>
          <w:bCs/>
          <w:color w:val="auto"/>
          <w:sz w:val="24"/>
        </w:rPr>
        <w:t>投标文件</w:t>
      </w:r>
      <w:r>
        <w:rPr>
          <w:rFonts w:hint="eastAsia" w:ascii="仿宋" w:hAnsi="仿宋" w:eastAsia="仿宋" w:cs="Times New Roman"/>
          <w:color w:val="auto"/>
          <w:sz w:val="24"/>
        </w:rPr>
        <w:t>在其封面上清楚地标明资格</w:t>
      </w:r>
      <w:r>
        <w:rPr>
          <w:rFonts w:hint="eastAsia" w:ascii="仿宋" w:hAnsi="仿宋" w:eastAsia="仿宋" w:cs="Times New Roman"/>
          <w:color w:val="auto"/>
          <w:sz w:val="24"/>
          <w:lang w:eastAsia="zh-CN"/>
        </w:rPr>
        <w:t>技术</w:t>
      </w:r>
      <w:r>
        <w:rPr>
          <w:rFonts w:hint="eastAsia" w:ascii="仿宋" w:hAnsi="仿宋" w:eastAsia="仿宋" w:cs="Times New Roman"/>
          <w:color w:val="auto"/>
          <w:sz w:val="24"/>
        </w:rPr>
        <w:t>投标文件、</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、包件号及名称（若有）、投标人名称以及“正本”或“副本”字样。</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6D8ACD4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2</w:t>
      </w:r>
      <w:r>
        <w:rPr>
          <w:rFonts w:hint="eastAsia" w:ascii="仿宋" w:hAnsi="仿宋" w:eastAsia="仿宋" w:cs="Times New Roman"/>
          <w:b/>
          <w:bCs/>
          <w:color w:val="auto"/>
          <w:sz w:val="24"/>
          <w:lang w:eastAsia="zh-CN"/>
        </w:rPr>
        <w:t>开标一览表</w:t>
      </w:r>
      <w:r>
        <w:rPr>
          <w:rFonts w:hint="eastAsia" w:ascii="仿宋" w:hAnsi="仿宋" w:eastAsia="仿宋" w:cs="Times New Roman"/>
          <w:color w:val="auto"/>
          <w:sz w:val="24"/>
        </w:rPr>
        <w:t>在其封面上清楚地标明</w:t>
      </w:r>
      <w:r>
        <w:rPr>
          <w:rFonts w:hint="eastAsia" w:ascii="仿宋" w:hAnsi="仿宋" w:eastAsia="仿宋" w:cs="Times New Roman"/>
          <w:color w:val="auto"/>
          <w:sz w:val="24"/>
          <w:lang w:eastAsia="zh-CN"/>
        </w:rPr>
        <w:t>开标一览表</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3E810BC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3</w:t>
      </w:r>
      <w:r>
        <w:rPr>
          <w:rFonts w:hint="eastAsia" w:ascii="仿宋" w:hAnsi="仿宋" w:eastAsia="仿宋" w:cs="Times New Roman"/>
          <w:color w:val="auto"/>
          <w:sz w:val="24"/>
        </w:rPr>
        <w:t>投标文件的正本和副本均需打印或用不褪色、不变质的墨水书写，并由投标人的法定代表人/</w:t>
      </w:r>
      <w:r>
        <w:rPr>
          <w:rFonts w:hint="eastAsia" w:ascii="仿宋" w:hAnsi="仿宋" w:eastAsia="仿宋" w:cs="Times New Roman"/>
          <w:color w:val="auto"/>
          <w:sz w:val="24"/>
          <w:lang w:eastAsia="zh-CN"/>
        </w:rPr>
        <w:t>单位</w:t>
      </w:r>
      <w:r>
        <w:rPr>
          <w:rFonts w:hint="eastAsia" w:ascii="仿宋" w:hAnsi="仿宋" w:eastAsia="仿宋" w:cs="Times New Roman"/>
          <w:color w:val="auto"/>
          <w:sz w:val="24"/>
        </w:rPr>
        <w:t>负责人或其授权代表在规定签章处签字</w:t>
      </w:r>
      <w:r>
        <w:rPr>
          <w:rFonts w:hint="eastAsia" w:ascii="仿宋" w:hAnsi="仿宋" w:eastAsia="仿宋" w:cs="Times New Roman"/>
          <w:color w:val="auto"/>
          <w:sz w:val="24"/>
          <w:lang w:eastAsia="zh-CN"/>
        </w:rPr>
        <w:t>和盖章</w:t>
      </w:r>
      <w:r>
        <w:rPr>
          <w:rFonts w:hint="eastAsia" w:ascii="仿宋" w:hAnsi="仿宋" w:eastAsia="仿宋" w:cs="Times New Roman"/>
          <w:color w:val="auto"/>
          <w:sz w:val="24"/>
        </w:rPr>
        <w:t>。投标文件副本可采用正本的复印件。若正本和副本有不一致的内容，以正本书面投标文件为准。</w:t>
      </w:r>
    </w:p>
    <w:p w14:paraId="6623451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4</w:t>
      </w:r>
      <w:r>
        <w:rPr>
          <w:rFonts w:hint="eastAsia" w:ascii="仿宋" w:hAnsi="仿宋" w:eastAsia="仿宋" w:cs="Times New Roman"/>
          <w:color w:val="auto"/>
          <w:sz w:val="24"/>
        </w:rPr>
        <w:t>投标文件的打印和书写应清楚工整，任何行间插字、涂改或增删，必须由投标人的法定代表人/</w:t>
      </w:r>
      <w:r>
        <w:rPr>
          <w:rFonts w:hint="eastAsia" w:ascii="仿宋" w:hAnsi="仿宋" w:eastAsia="仿宋" w:cs="Times New Roman"/>
          <w:color w:val="auto"/>
          <w:sz w:val="24"/>
          <w:lang w:eastAsia="zh-CN"/>
        </w:rPr>
        <w:t>单位负责人</w:t>
      </w:r>
      <w:r>
        <w:rPr>
          <w:rFonts w:hint="eastAsia" w:ascii="仿宋" w:hAnsi="仿宋" w:eastAsia="仿宋" w:cs="Times New Roman"/>
          <w:color w:val="auto"/>
          <w:sz w:val="24"/>
        </w:rPr>
        <w:t>或其授权代表签字或盖个人印鉴。</w:t>
      </w:r>
    </w:p>
    <w:p w14:paraId="0C9B0EF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5</w:t>
      </w:r>
      <w:r>
        <w:rPr>
          <w:rFonts w:hint="eastAsia" w:ascii="仿宋" w:hAnsi="仿宋" w:eastAsia="仿宋" w:cs="Times New Roman"/>
          <w:color w:val="auto"/>
          <w:sz w:val="24"/>
        </w:rPr>
        <w:t>投标文件正本和副本应当采取胶装方式装订成册，不得散装或者活页装订。</w:t>
      </w:r>
    </w:p>
    <w:p w14:paraId="675ECEE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6</w:t>
      </w:r>
      <w:r>
        <w:rPr>
          <w:rFonts w:hint="eastAsia" w:ascii="仿宋" w:hAnsi="仿宋" w:eastAsia="仿宋" w:cs="Times New Roman"/>
          <w:color w:val="auto"/>
          <w:sz w:val="24"/>
        </w:rPr>
        <w:t>投标文件应根据招标文件的要求制作，签署、盖章。投标文件统一用A4幅面纸印制，逐页编码。本次招标要求的复印件是指对图文进行复制后的文件，包括扫描、复印、影印等方式复制的材料。</w:t>
      </w:r>
    </w:p>
    <w:p w14:paraId="3595196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注：采购项目分包的，各包须按以上要求分别印制及签署投标文件。</w:t>
      </w:r>
    </w:p>
    <w:p w14:paraId="0CF57CA7">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19.投标文件的密封和标</w:t>
      </w:r>
      <w:bookmarkEnd w:id="108"/>
      <w:bookmarkEnd w:id="109"/>
      <w:bookmarkEnd w:id="110"/>
      <w:bookmarkEnd w:id="111"/>
      <w:r>
        <w:rPr>
          <w:rFonts w:hint="eastAsia" w:ascii="仿宋" w:hAnsi="仿宋" w:eastAsia="仿宋" w:cs="Times New Roman"/>
          <w:b/>
          <w:bCs/>
          <w:color w:val="auto"/>
          <w:sz w:val="24"/>
        </w:rPr>
        <w:t>注</w:t>
      </w:r>
      <w:bookmarkEnd w:id="112"/>
      <w:bookmarkEnd w:id="113"/>
      <w:bookmarkEnd w:id="114"/>
    </w:p>
    <w:p w14:paraId="1500928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bookmarkStart w:id="115" w:name="_Toc183582227"/>
      <w:bookmarkStart w:id="116" w:name="_Toc183682364"/>
      <w:bookmarkStart w:id="117" w:name="_Toc79959183"/>
      <w:bookmarkStart w:id="118" w:name="_Toc308164804"/>
      <w:bookmarkStart w:id="119" w:name="_Toc217446054"/>
      <w:r>
        <w:rPr>
          <w:rFonts w:hint="eastAsia" w:ascii="仿宋" w:hAnsi="仿宋" w:eastAsia="仿宋" w:cs="Times New Roman"/>
          <w:color w:val="auto"/>
          <w:sz w:val="24"/>
        </w:rPr>
        <w:t>19.1 投标人应在投标文件正本和所有副本的封面上注明投标人名称、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p>
    <w:p w14:paraId="3BD9AC6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lang w:eastAsia="zh-CN"/>
        </w:rPr>
      </w:pPr>
      <w:r>
        <w:rPr>
          <w:rFonts w:hint="eastAsia" w:ascii="仿宋" w:hAnsi="仿宋" w:eastAsia="仿宋" w:cs="Times New Roman"/>
          <w:color w:val="auto"/>
          <w:sz w:val="24"/>
        </w:rPr>
        <w:t>19.2 投标文件包括正本、副本、投标文件电子档和用于开标唱标单独提交的“开标一览表”。投标文件应当密封，</w:t>
      </w:r>
      <w:r>
        <w:rPr>
          <w:rFonts w:hint="eastAsia" w:ascii="仿宋" w:hAnsi="仿宋" w:eastAsia="仿宋" w:cs="Times New Roman"/>
          <w:b/>
          <w:bCs/>
          <w:color w:val="auto"/>
          <w:sz w:val="24"/>
        </w:rPr>
        <w:t>并在封口处加盖单位公章，</w:t>
      </w:r>
      <w:r>
        <w:rPr>
          <w:rFonts w:hint="eastAsia" w:ascii="仿宋" w:hAnsi="仿宋" w:eastAsia="仿宋" w:cs="Times New Roman"/>
          <w:color w:val="auto"/>
          <w:sz w:val="24"/>
        </w:rPr>
        <w:t>其中“开标一览表”单独密封。</w:t>
      </w:r>
    </w:p>
    <w:p w14:paraId="40528C75">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r>
        <w:rPr>
          <w:rFonts w:hint="eastAsia" w:ascii="仿宋" w:hAnsi="仿宋" w:eastAsia="仿宋" w:cs="Times New Roman"/>
          <w:color w:val="auto"/>
          <w:sz w:val="24"/>
        </w:rPr>
        <w:t>19.3 投标文件的密封袋上应当注明投标人名称、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r>
        <w:rPr>
          <w:rFonts w:hint="eastAsia" w:ascii="仿宋" w:hAnsi="仿宋" w:eastAsia="仿宋" w:cs="Times New Roman"/>
          <w:color w:val="auto"/>
          <w:sz w:val="24"/>
          <w:lang w:eastAsia="zh-CN"/>
        </w:rPr>
        <w:t>每一密封件上应注明“于   年  月  日  时  分之前不准启封”字样</w:t>
      </w:r>
      <w:r>
        <w:rPr>
          <w:rFonts w:hint="eastAsia" w:ascii="仿宋" w:hAnsi="仿宋" w:eastAsia="仿宋" w:cs="Times New Roman"/>
          <w:color w:val="auto"/>
          <w:sz w:val="24"/>
        </w:rPr>
        <w:t>。</w:t>
      </w:r>
    </w:p>
    <w:p w14:paraId="14A65F92">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注：采购项目分包的，各包须按以上要求分别密封和标注。</w:t>
      </w:r>
    </w:p>
    <w:p w14:paraId="32A35CFE">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20．投标文件的</w:t>
      </w:r>
      <w:bookmarkEnd w:id="115"/>
      <w:bookmarkEnd w:id="116"/>
      <w:r>
        <w:rPr>
          <w:rFonts w:hint="eastAsia" w:ascii="仿宋" w:hAnsi="仿宋" w:eastAsia="仿宋" w:cs="Times New Roman"/>
          <w:b/>
          <w:bCs/>
          <w:color w:val="auto"/>
          <w:sz w:val="24"/>
        </w:rPr>
        <w:t>递交</w:t>
      </w:r>
      <w:bookmarkEnd w:id="117"/>
      <w:bookmarkEnd w:id="118"/>
      <w:bookmarkEnd w:id="119"/>
    </w:p>
    <w:p w14:paraId="380DC559">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bookmarkStart w:id="120" w:name="_Toc183682365"/>
      <w:bookmarkStart w:id="121" w:name="_Toc183582228"/>
      <w:bookmarkStart w:id="122" w:name="_Toc79959184"/>
      <w:bookmarkStart w:id="123" w:name="_Toc217446055"/>
      <w:r>
        <w:rPr>
          <w:rFonts w:hint="eastAsia" w:ascii="仿宋" w:hAnsi="仿宋" w:eastAsia="仿宋" w:cs="Times New Roman"/>
          <w:color w:val="auto"/>
          <w:sz w:val="24"/>
          <w:lang w:val="en-US" w:eastAsia="zh-CN"/>
        </w:rPr>
        <w:t>20.1 投标人应在招标文件规定的提交投标文件截止时间前，将投标文件按招标文件的规定密封后送达开标地点。招标代理机构收到投标文件后，如实记载投标文件的送达时间和密封情况，签收保存，并向投标人出具签收回执。逾期送达或未按照招标文件要求密封的投标文件，招标人、招标代理机构应当拒收并将告知投标人不予接收的原因。</w:t>
      </w:r>
    </w:p>
    <w:p w14:paraId="26E56037">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20.2递交投标文件时，报名投标人名称和招标文件的文号、分包号应当与投标人名称和招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71DE7BE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 w:hAnsi="仿宋" w:eastAsia="仿宋"/>
          <w:b w:val="0"/>
          <w:bCs w:val="0"/>
          <w:color w:val="auto"/>
          <w:kern w:val="2"/>
          <w:sz w:val="24"/>
          <w:szCs w:val="24"/>
          <w:highlight w:val="none"/>
          <w:lang w:val="en-US" w:eastAsia="zh-CN" w:bidi="ar-SA"/>
        </w:rPr>
      </w:pPr>
      <w:r>
        <w:rPr>
          <w:rFonts w:hint="eastAsia" w:ascii="仿宋" w:hAnsi="仿宋" w:eastAsia="仿宋"/>
          <w:b w:val="0"/>
          <w:bCs w:val="0"/>
          <w:color w:val="auto"/>
          <w:kern w:val="2"/>
          <w:sz w:val="24"/>
          <w:szCs w:val="24"/>
          <w:highlight w:val="none"/>
          <w:lang w:val="en-US" w:eastAsia="zh-CN" w:bidi="ar-SA"/>
        </w:rPr>
        <w:t>20.3本次招标不接收邮寄的投标文件。</w:t>
      </w:r>
    </w:p>
    <w:p w14:paraId="7A3BBEEB">
      <w:pPr>
        <w:keepNext w:val="0"/>
        <w:keepLines w:val="0"/>
        <w:pageBreakBefore w:val="0"/>
        <w:widowControl w:val="0"/>
        <w:kinsoku/>
        <w:wordWrap/>
        <w:overflowPunct/>
        <w:topLinePunct w:val="0"/>
        <w:autoSpaceDE/>
        <w:autoSpaceDN/>
        <w:bidi w:val="0"/>
        <w:snapToGrid/>
        <w:spacing w:after="0" w:line="360" w:lineRule="auto"/>
        <w:ind w:firstLine="472" w:firstLineChars="196"/>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21．投标文件的修改和撤</w:t>
      </w:r>
      <w:bookmarkEnd w:id="120"/>
      <w:bookmarkEnd w:id="121"/>
      <w:r>
        <w:rPr>
          <w:rFonts w:hint="eastAsia" w:ascii="仿宋" w:hAnsi="仿宋" w:eastAsia="仿宋" w:cs="Times New Roman"/>
          <w:b/>
          <w:bCs/>
          <w:color w:val="auto"/>
          <w:sz w:val="24"/>
        </w:rPr>
        <w:t>回</w:t>
      </w:r>
      <w:bookmarkEnd w:id="122"/>
      <w:bookmarkEnd w:id="123"/>
    </w:p>
    <w:p w14:paraId="2169474C">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4"/>
          <w:highlight w:val="none"/>
        </w:rPr>
      </w:pPr>
      <w:bookmarkStart w:id="124" w:name="_Toc183682368"/>
      <w:bookmarkStart w:id="125" w:name="_Toc183582231"/>
      <w:bookmarkStart w:id="126" w:name="_Toc77400782"/>
      <w:bookmarkStart w:id="127" w:name="_Toc308164805"/>
      <w:bookmarkStart w:id="128" w:name="_Toc89075878"/>
      <w:bookmarkStart w:id="129" w:name="_Toc217446056"/>
      <w:bookmarkStart w:id="130" w:name="_Toc79959185"/>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.1 投标人在提交投标文件后可对其投标文件进行修改或撤销，但该修改或撤销的书面</w:t>
      </w:r>
      <w:r>
        <w:rPr>
          <w:rFonts w:hint="eastAsia" w:ascii="仿宋_GB2312" w:hAnsi="仿宋_GB2312" w:eastAsia="仿宋_GB2312" w:cs="仿宋_GB2312"/>
          <w:color w:val="auto"/>
          <w:sz w:val="24"/>
          <w:highlight w:val="none"/>
          <w:lang w:eastAsia="zh-CN"/>
        </w:rPr>
        <w:t>通</w:t>
      </w:r>
      <w:r>
        <w:rPr>
          <w:rFonts w:hint="eastAsia" w:ascii="仿宋_GB2312" w:hAnsi="仿宋_GB2312" w:eastAsia="仿宋_GB2312" w:cs="仿宋_GB2312"/>
          <w:color w:val="auto"/>
          <w:sz w:val="24"/>
          <w:highlight w:val="none"/>
        </w:rPr>
        <w:t>知</w:t>
      </w:r>
      <w:r>
        <w:rPr>
          <w:rFonts w:hint="eastAsia" w:ascii="仿宋_GB2312" w:hAnsi="仿宋_GB2312" w:eastAsia="仿宋_GB2312" w:cs="仿宋_GB2312"/>
          <w:color w:val="auto"/>
          <w:sz w:val="24"/>
          <w:highlight w:val="none"/>
          <w:lang w:eastAsia="zh-CN"/>
        </w:rPr>
        <w:t>必</w:t>
      </w:r>
      <w:r>
        <w:rPr>
          <w:rFonts w:hint="eastAsia" w:ascii="仿宋_GB2312" w:hAnsi="仿宋_GB2312" w:eastAsia="仿宋_GB2312" w:cs="仿宋_GB2312"/>
          <w:color w:val="auto"/>
          <w:sz w:val="24"/>
          <w:highlight w:val="none"/>
        </w:rPr>
        <w:t>须在递交截止时间之前送达</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rPr>
        <w:t>，补充、修改的内容作为投标文件的组成部分。该通知</w:t>
      </w:r>
      <w:r>
        <w:rPr>
          <w:rFonts w:hint="eastAsia" w:ascii="仿宋_GB2312" w:hAnsi="仿宋_GB2312" w:eastAsia="仿宋_GB2312" w:cs="仿宋_GB2312"/>
          <w:color w:val="auto"/>
          <w:sz w:val="24"/>
          <w:highlight w:val="none"/>
          <w:lang w:eastAsia="zh-CN"/>
        </w:rPr>
        <w:t>应由其法定代表人或</w:t>
      </w:r>
      <w:r>
        <w:rPr>
          <w:rFonts w:hint="eastAsia" w:ascii="仿宋_GB2312" w:hAnsi="仿宋_GB2312" w:eastAsia="仿宋_GB2312" w:cs="仿宋_GB2312"/>
          <w:color w:val="auto"/>
          <w:sz w:val="24"/>
          <w:highlight w:val="none"/>
        </w:rPr>
        <w:t>授权代表</w:t>
      </w:r>
      <w:r>
        <w:rPr>
          <w:rFonts w:hint="eastAsia" w:ascii="仿宋_GB2312" w:hAnsi="仿宋_GB2312" w:eastAsia="仿宋_GB2312" w:cs="仿宋_GB2312"/>
          <w:color w:val="auto"/>
          <w:sz w:val="24"/>
          <w:highlight w:val="none"/>
          <w:lang w:eastAsia="zh-CN"/>
        </w:rPr>
        <w:t>签署并盖单位印章。</w:t>
      </w:r>
      <w:r>
        <w:rPr>
          <w:rFonts w:hint="eastAsia" w:ascii="仿宋_GB2312" w:hAnsi="仿宋_GB2312" w:eastAsia="仿宋_GB2312" w:cs="仿宋_GB2312"/>
          <w:color w:val="auto"/>
          <w:sz w:val="24"/>
          <w:highlight w:val="none"/>
        </w:rPr>
        <w:t>投标人在提交投标文件截止时间前，可以对所提交的投标文件进行补充、修改或者撤回，补充、修改的内容与投标文件不一致的，以补充、修改的内容为准。</w:t>
      </w:r>
    </w:p>
    <w:p w14:paraId="21575FE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.2 投标人对投标文件修改的书面材料或撤销的通知应该按本章的规定进行编写、密封、标注和递送，并注明“修改”或“撤销”字样。</w:t>
      </w:r>
    </w:p>
    <w:p w14:paraId="23F4CF8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.3 在递交</w:t>
      </w:r>
      <w:r>
        <w:rPr>
          <w:rFonts w:hint="eastAsia" w:ascii="仿宋_GB2312" w:hAnsi="仿宋_GB2312" w:eastAsia="仿宋_GB2312" w:cs="仿宋_GB2312"/>
          <w:color w:val="auto"/>
          <w:sz w:val="24"/>
          <w:highlight w:val="none"/>
          <w:lang w:eastAsia="zh-CN"/>
        </w:rPr>
        <w:t>投标</w:t>
      </w:r>
      <w:r>
        <w:rPr>
          <w:rFonts w:hint="eastAsia" w:ascii="仿宋_GB2312" w:hAnsi="仿宋_GB2312" w:eastAsia="仿宋_GB2312" w:cs="仿宋_GB2312"/>
          <w:color w:val="auto"/>
          <w:sz w:val="24"/>
          <w:highlight w:val="none"/>
        </w:rPr>
        <w:t>截止时间之后，投标人不得对其投标文件进行任何修改</w:t>
      </w:r>
      <w:r>
        <w:rPr>
          <w:rFonts w:hint="eastAsia" w:ascii="仿宋_GB2312" w:hAnsi="仿宋_GB2312" w:cs="仿宋_GB2312"/>
          <w:color w:val="auto"/>
          <w:sz w:val="24"/>
          <w:highlight w:val="none"/>
          <w:lang w:val="en-US" w:eastAsia="zh-CN"/>
        </w:rPr>
        <w:t>,已经递交的投标文件</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w:t>
      </w:r>
      <w:r>
        <w:rPr>
          <w:rFonts w:hint="eastAsia" w:ascii="仿宋_GB2312" w:hAnsi="仿宋_GB2312" w:cs="仿宋_GB2312"/>
          <w:color w:val="auto"/>
          <w:sz w:val="24"/>
          <w:highlight w:val="none"/>
          <w:lang w:eastAsia="zh-CN"/>
        </w:rPr>
        <w:t>招标代理机构</w:t>
      </w:r>
      <w:r>
        <w:rPr>
          <w:rFonts w:hint="eastAsia" w:ascii="仿宋_GB2312" w:hAnsi="仿宋_GB2312" w:cs="仿宋_GB2312"/>
          <w:color w:val="auto"/>
          <w:sz w:val="24"/>
          <w:highlight w:val="none"/>
          <w:lang w:val="en-US" w:eastAsia="zh-CN"/>
        </w:rPr>
        <w:t>可以</w:t>
      </w:r>
      <w:r>
        <w:rPr>
          <w:rFonts w:hint="eastAsia" w:ascii="仿宋_GB2312" w:hAnsi="仿宋_GB2312" w:eastAsia="仿宋_GB2312" w:cs="仿宋_GB2312"/>
          <w:color w:val="auto"/>
          <w:sz w:val="24"/>
          <w:highlight w:val="none"/>
          <w:lang w:eastAsia="zh-CN"/>
        </w:rPr>
        <w:t>不予退</w:t>
      </w:r>
      <w:r>
        <w:rPr>
          <w:rFonts w:hint="eastAsia" w:ascii="仿宋_GB2312" w:hAnsi="仿宋_GB2312" w:cs="仿宋_GB2312"/>
          <w:color w:val="auto"/>
          <w:sz w:val="24"/>
          <w:highlight w:val="none"/>
          <w:lang w:eastAsia="zh-CN"/>
        </w:rPr>
        <w:t>还</w:t>
      </w:r>
      <w:r>
        <w:rPr>
          <w:rFonts w:hint="eastAsia" w:ascii="仿宋_GB2312" w:hAnsi="仿宋_GB2312" w:eastAsia="仿宋_GB2312" w:cs="仿宋_GB2312"/>
          <w:color w:val="auto"/>
          <w:sz w:val="24"/>
          <w:highlight w:val="none"/>
        </w:rPr>
        <w:t>。</w:t>
      </w:r>
    </w:p>
    <w:p w14:paraId="72FF534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.4 投标人不得在递交截止时间起至投标文件有效期期满前撤销其投标文件。</w:t>
      </w:r>
    </w:p>
    <w:p w14:paraId="33B4EBF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31" w:name="_Toc5953"/>
      <w:bookmarkStart w:id="132" w:name="_Toc3161"/>
      <w:r>
        <w:rPr>
          <w:rFonts w:hint="eastAsia" w:ascii="仿宋" w:hAnsi="仿宋" w:eastAsia="仿宋" w:cs="仿宋"/>
          <w:b/>
          <w:bCs/>
          <w:color w:val="auto"/>
          <w:highlight w:val="none"/>
        </w:rPr>
        <w:t>五、开标和中标</w:t>
      </w:r>
      <w:bookmarkEnd w:id="124"/>
      <w:bookmarkEnd w:id="125"/>
      <w:bookmarkEnd w:id="126"/>
      <w:bookmarkEnd w:id="127"/>
      <w:bookmarkEnd w:id="128"/>
      <w:bookmarkEnd w:id="129"/>
      <w:bookmarkEnd w:id="130"/>
      <w:bookmarkEnd w:id="131"/>
      <w:bookmarkEnd w:id="132"/>
    </w:p>
    <w:p w14:paraId="03ABB8C4">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33" w:name="_Toc183682369"/>
      <w:bookmarkStart w:id="134" w:name="_Toc308164806"/>
      <w:bookmarkStart w:id="135" w:name="_Toc79959186"/>
      <w:bookmarkStart w:id="136" w:name="_Toc217446057"/>
      <w:bookmarkStart w:id="137" w:name="_Toc183582232"/>
      <w:r>
        <w:rPr>
          <w:rFonts w:hint="eastAsia" w:ascii="仿宋_GB2312" w:hAnsi="仿宋_GB2312" w:eastAsia="仿宋_GB2312" w:cs="仿宋_GB2312"/>
          <w:b/>
          <w:bCs/>
          <w:color w:val="auto"/>
          <w:sz w:val="24"/>
          <w:highlight w:val="none"/>
          <w:lang w:eastAsia="zh-CN"/>
        </w:rPr>
        <w:t>22．开标</w:t>
      </w:r>
      <w:bookmarkEnd w:id="133"/>
      <w:bookmarkEnd w:id="134"/>
      <w:bookmarkEnd w:id="135"/>
      <w:bookmarkEnd w:id="136"/>
      <w:bookmarkEnd w:id="137"/>
    </w:p>
    <w:p w14:paraId="6D63AF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38" w:name="_Toc217446058"/>
      <w:bookmarkStart w:id="139" w:name="_Toc79959187"/>
      <w:bookmarkStart w:id="140" w:name="_Toc308164807"/>
      <w:r>
        <w:rPr>
          <w:rFonts w:hint="eastAsia" w:ascii="仿宋_GB2312" w:hAnsi="仿宋_GB2312" w:eastAsia="仿宋_GB2312" w:cs="仿宋_GB2312"/>
          <w:color w:val="auto"/>
          <w:sz w:val="24"/>
          <w:highlight w:val="none"/>
          <w:lang w:eastAsia="zh-CN"/>
        </w:rPr>
        <w:t>22.1 开标在招标文件规定的时间和地点公开进行，</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、投标人应派代表参加并签到以证明其出席。开标由</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主持，邀请投标人参加。评标委员会成员不参加开标活动。</w:t>
      </w:r>
    </w:p>
    <w:p w14:paraId="0FF39F6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22.2 开标时，可根据具体情况邀请有关监督管理部门对开标活动进行现场监督。</w:t>
      </w:r>
    </w:p>
    <w:p w14:paraId="332DF77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22.3 开标时，由投标人或者其推选的代表检查其自己递交的投标文件的密封情况，经确认无误后，由招标工作人员将投标人的“开标一览表”当众拆封，并由唱标人员按照招标文件规定的内容进行宣读，并加以记录。</w:t>
      </w:r>
    </w:p>
    <w:p w14:paraId="412915B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08772F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22.4 </w:t>
      </w:r>
      <w:r>
        <w:rPr>
          <w:rFonts w:hint="eastAsia" w:ascii="仿宋_GB2312" w:hAnsi="仿宋_GB2312" w:eastAsia="仿宋_GB2312" w:cs="仿宋_GB2312"/>
          <w:color w:val="auto"/>
          <w:sz w:val="24"/>
          <w:highlight w:val="none"/>
          <w:lang w:eastAsia="zh-CN"/>
        </w:rPr>
        <w:t>开标时，“开标一览表”中的①大写金额与小写金额不一致的，以大写金额为准；②总价金额与按单价计算的汇总金额不一致的，以单价计算的汇总金额为准；③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317335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 xml:space="preserve"> 投标文件中相关内容与“开标一览表”不一致的，以“开标一览表”为准。对不同文字文本投标文件的解释发生异议的，以中文文本为准。</w:t>
      </w:r>
    </w:p>
    <w:p w14:paraId="6D284EF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 xml:space="preserve">6 </w:t>
      </w:r>
      <w:r>
        <w:rPr>
          <w:rFonts w:hint="eastAsia" w:ascii="仿宋_GB2312" w:hAnsi="仿宋_GB2312" w:eastAsia="仿宋_GB2312" w:cs="仿宋_GB2312"/>
          <w:color w:val="auto"/>
          <w:sz w:val="24"/>
          <w:highlight w:val="none"/>
          <w:lang w:eastAsia="zh-CN"/>
        </w:rPr>
        <w:t>所有投标唱标完毕，如投标人代表对宣读的“开标一览表”上的内容有异议的，应在获得开标会主持人同意后当场提出。如确实属于唱标人员宣读错了的，当场予以更正。</w:t>
      </w:r>
    </w:p>
    <w:p w14:paraId="23B6A6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 xml:space="preserve"> 投标人未参加开标的，视同认可开标结果。</w:t>
      </w:r>
    </w:p>
    <w:bookmarkEnd w:id="138"/>
    <w:bookmarkEnd w:id="139"/>
    <w:bookmarkEnd w:id="140"/>
    <w:p w14:paraId="0E627B1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1" w:name="_Toc79959188"/>
      <w:bookmarkStart w:id="142" w:name="_Toc217446063"/>
      <w:bookmarkStart w:id="143" w:name="_Toc183582238"/>
      <w:bookmarkStart w:id="144" w:name="_Toc308164809"/>
      <w:bookmarkStart w:id="145" w:name="_Toc183682375"/>
      <w:r>
        <w:rPr>
          <w:rFonts w:hint="eastAsia" w:ascii="仿宋_GB2312" w:hAnsi="仿宋_GB2312" w:eastAsia="仿宋_GB2312" w:cs="仿宋_GB2312"/>
          <w:b/>
          <w:bCs/>
          <w:color w:val="auto"/>
          <w:sz w:val="24"/>
          <w:highlight w:val="none"/>
          <w:lang w:eastAsia="zh-CN"/>
        </w:rPr>
        <w:t>23.开标程序</w:t>
      </w:r>
    </w:p>
    <w:p w14:paraId="03B0F5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开标会主持人按照招标文件规定的开标时间宣布开标，按照规定要求主持开标会。开标将按以下程序进行：</w:t>
      </w:r>
    </w:p>
    <w:p w14:paraId="5FD7C7C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23.1 </w:t>
      </w:r>
      <w:r>
        <w:rPr>
          <w:rFonts w:hint="eastAsia" w:ascii="仿宋_GB2312" w:hAnsi="仿宋_GB2312" w:eastAsia="仿宋_GB2312" w:cs="仿宋_GB2312"/>
          <w:color w:val="auto"/>
          <w:sz w:val="24"/>
          <w:highlight w:val="none"/>
          <w:lang w:eastAsia="zh-CN"/>
        </w:rPr>
        <w:t>宣布开标会开始。当众宣布参加开标会主持人、唱标人、会议记录人等工作人员，根据“投标人签到表”宣布参加投标的投标人名单。</w:t>
      </w:r>
    </w:p>
    <w:p w14:paraId="7D39A1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23.2 </w:t>
      </w:r>
      <w:r>
        <w:rPr>
          <w:rFonts w:hint="eastAsia" w:ascii="仿宋_GB2312" w:hAnsi="仿宋_GB2312" w:eastAsia="仿宋_GB2312" w:cs="仿宋_GB2312"/>
          <w:color w:val="auto"/>
          <w:sz w:val="24"/>
          <w:highlight w:val="none"/>
          <w:lang w:eastAsia="zh-CN"/>
        </w:rPr>
        <w:t>根据投标人或者其推选的代表对投标文件密封的检查结果，当众宣布投标文件的密封情况。</w:t>
      </w:r>
    </w:p>
    <w:p w14:paraId="6730CAF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23.3 </w:t>
      </w:r>
      <w:r>
        <w:rPr>
          <w:rFonts w:hint="eastAsia" w:ascii="仿宋_GB2312" w:hAnsi="仿宋_GB2312" w:eastAsia="仿宋_GB2312" w:cs="仿宋_GB2312"/>
          <w:color w:val="auto"/>
          <w:sz w:val="24"/>
          <w:highlight w:val="none"/>
          <w:lang w:eastAsia="zh-CN"/>
        </w:rPr>
        <w:t>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32873CB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23.4 </w:t>
      </w:r>
      <w:r>
        <w:rPr>
          <w:rFonts w:hint="eastAsia" w:ascii="仿宋_GB2312" w:hAnsi="仿宋_GB2312" w:eastAsia="仿宋_GB2312" w:cs="仿宋_GB2312"/>
          <w:color w:val="auto"/>
          <w:sz w:val="24"/>
          <w:highlight w:val="none"/>
          <w:lang w:eastAsia="zh-CN"/>
        </w:rPr>
        <w:t>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采购招标信息服务平台（http://www.sccgpt.com）</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w:t>
      </w:r>
    </w:p>
    <w:bookmarkEnd w:id="141"/>
    <w:bookmarkEnd w:id="142"/>
    <w:bookmarkEnd w:id="143"/>
    <w:bookmarkEnd w:id="144"/>
    <w:bookmarkEnd w:id="145"/>
    <w:p w14:paraId="4C8DE651">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6" w:name="_Toc217446064"/>
      <w:bookmarkStart w:id="147" w:name="_Toc308164810"/>
      <w:bookmarkStart w:id="148" w:name="_Toc79959191"/>
      <w:bookmarkStart w:id="149" w:name="_Toc183582240"/>
      <w:bookmarkStart w:id="150" w:name="_Toc183682377"/>
      <w:r>
        <w:rPr>
          <w:rFonts w:hint="eastAsia" w:ascii="仿宋_GB2312" w:hAnsi="仿宋_GB2312" w:eastAsia="仿宋_GB2312" w:cs="仿宋_GB2312"/>
          <w:b/>
          <w:bCs/>
          <w:color w:val="auto"/>
          <w:sz w:val="24"/>
          <w:highlight w:val="none"/>
          <w:lang w:val="en-US" w:eastAsia="zh-CN"/>
        </w:rPr>
        <w:t>24.</w:t>
      </w:r>
      <w:r>
        <w:rPr>
          <w:rFonts w:hint="eastAsia" w:ascii="仿宋_GB2312" w:hAnsi="仿宋_GB2312" w:eastAsia="仿宋_GB2312" w:cs="仿宋_GB2312"/>
          <w:b/>
          <w:bCs/>
          <w:color w:val="auto"/>
          <w:sz w:val="24"/>
          <w:highlight w:val="none"/>
          <w:lang w:eastAsia="zh-CN"/>
        </w:rPr>
        <w:t>评标程序及定标原则</w:t>
      </w:r>
    </w:p>
    <w:p w14:paraId="7A726CA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详见第七章评标办法</w:t>
      </w:r>
    </w:p>
    <w:p w14:paraId="7124D15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开评标过程存档</w:t>
      </w:r>
    </w:p>
    <w:p w14:paraId="0CD8FA8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开标和评标过程进行全过程电子监控，并将电子监控资料存储介质留存归档。</w:t>
      </w:r>
    </w:p>
    <w:p w14:paraId="5F13C60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6</w:t>
      </w:r>
      <w:r>
        <w:rPr>
          <w:rFonts w:hint="eastAsia" w:ascii="仿宋_GB2312" w:hAnsi="仿宋_GB2312" w:eastAsia="仿宋_GB2312" w:cs="仿宋_GB2312"/>
          <w:b/>
          <w:bCs/>
          <w:color w:val="auto"/>
          <w:sz w:val="24"/>
          <w:highlight w:val="none"/>
          <w:lang w:eastAsia="zh-CN"/>
        </w:rPr>
        <w:t>.评标情况公告</w:t>
      </w:r>
    </w:p>
    <w:p w14:paraId="6B989A7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详见本章投标人须知附表。</w:t>
      </w:r>
    </w:p>
    <w:p w14:paraId="06AFB25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7</w:t>
      </w:r>
      <w:r>
        <w:rPr>
          <w:rFonts w:hint="eastAsia" w:ascii="仿宋_GB2312" w:hAnsi="仿宋_GB2312" w:eastAsia="仿宋_GB2312" w:cs="仿宋_GB2312"/>
          <w:b/>
          <w:bCs/>
          <w:color w:val="auto"/>
          <w:sz w:val="24"/>
          <w:highlight w:val="none"/>
          <w:lang w:eastAsia="zh-CN"/>
        </w:rPr>
        <w:t>.</w:t>
      </w:r>
      <w:r>
        <w:rPr>
          <w:rFonts w:hint="eastAsia" w:ascii="仿宋_GB2312" w:hAnsi="仿宋_GB2312" w:cs="仿宋_GB2312"/>
          <w:b/>
          <w:bCs/>
          <w:color w:val="auto"/>
          <w:sz w:val="24"/>
          <w:highlight w:val="none"/>
          <w:lang w:eastAsia="zh-CN"/>
        </w:rPr>
        <w:t>招标人</w:t>
      </w:r>
      <w:r>
        <w:rPr>
          <w:rFonts w:hint="eastAsia" w:ascii="仿宋_GB2312" w:hAnsi="仿宋_GB2312" w:eastAsia="仿宋_GB2312" w:cs="仿宋_GB2312"/>
          <w:b/>
          <w:bCs/>
          <w:color w:val="auto"/>
          <w:sz w:val="24"/>
          <w:highlight w:val="none"/>
          <w:lang w:eastAsia="zh-CN"/>
        </w:rPr>
        <w:t>确定中标人过程中，发现中标候选人有下列情形之一的，应当不予确定其为中标人：</w:t>
      </w:r>
    </w:p>
    <w:p w14:paraId="11EDFF1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27.1 </w:t>
      </w:r>
      <w:r>
        <w:rPr>
          <w:rFonts w:hint="eastAsia" w:ascii="仿宋_GB2312" w:hAnsi="仿宋_GB2312" w:eastAsia="仿宋_GB2312" w:cs="仿宋_GB2312"/>
          <w:color w:val="auto"/>
          <w:sz w:val="24"/>
          <w:highlight w:val="none"/>
          <w:lang w:eastAsia="zh-CN"/>
        </w:rPr>
        <w:t>发现中标候选人存在禁止参加本项目采购活动的违法行为的；</w:t>
      </w:r>
    </w:p>
    <w:p w14:paraId="2A91124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27.2 </w:t>
      </w:r>
      <w:r>
        <w:rPr>
          <w:rFonts w:hint="eastAsia" w:ascii="仿宋_GB2312" w:hAnsi="仿宋_GB2312" w:eastAsia="仿宋_GB2312" w:cs="仿宋_GB2312"/>
          <w:color w:val="auto"/>
          <w:sz w:val="24"/>
          <w:highlight w:val="none"/>
          <w:lang w:eastAsia="zh-CN"/>
        </w:rPr>
        <w:t>中标候选人因不可抗力，不能继续参加采购活动；</w:t>
      </w:r>
    </w:p>
    <w:p w14:paraId="52E4673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27.3 </w:t>
      </w:r>
      <w:r>
        <w:rPr>
          <w:rFonts w:hint="eastAsia" w:ascii="仿宋_GB2312" w:hAnsi="仿宋_GB2312" w:eastAsia="仿宋_GB2312" w:cs="仿宋_GB2312"/>
          <w:color w:val="auto"/>
          <w:sz w:val="24"/>
          <w:highlight w:val="none"/>
          <w:lang w:eastAsia="zh-CN"/>
        </w:rPr>
        <w:t>中标候选人无偿赠与或者低于成本价竞争；</w:t>
      </w:r>
    </w:p>
    <w:p w14:paraId="62775FF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27.4 </w:t>
      </w:r>
      <w:r>
        <w:rPr>
          <w:rFonts w:hint="eastAsia" w:ascii="仿宋_GB2312" w:hAnsi="仿宋_GB2312" w:eastAsia="仿宋_GB2312" w:cs="仿宋_GB2312"/>
          <w:color w:val="auto"/>
          <w:sz w:val="24"/>
          <w:highlight w:val="none"/>
          <w:lang w:eastAsia="zh-CN"/>
        </w:rPr>
        <w:t>中标候选人提供虚假材料；</w:t>
      </w:r>
    </w:p>
    <w:p w14:paraId="652AEF1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27.5 </w:t>
      </w:r>
      <w:r>
        <w:rPr>
          <w:rFonts w:hint="eastAsia" w:ascii="仿宋_GB2312" w:hAnsi="仿宋_GB2312" w:eastAsia="仿宋_GB2312" w:cs="仿宋_GB2312"/>
          <w:color w:val="auto"/>
          <w:sz w:val="24"/>
          <w:highlight w:val="none"/>
          <w:lang w:eastAsia="zh-CN"/>
        </w:rPr>
        <w:t>中标候选人恶意串通。</w:t>
      </w:r>
    </w:p>
    <w:p w14:paraId="678B97F6">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lang w:eastAsia="zh-CN"/>
        </w:rPr>
        <w:t>.中标通知书</w:t>
      </w:r>
    </w:p>
    <w:p w14:paraId="2840588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.1 中标通知书为签订采购合同的依据之一，是合同的有效组成部分。</w:t>
      </w:r>
    </w:p>
    <w:p w14:paraId="45B7BD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.2 中标通知书对</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和中标人均具有法律效力。中标通知书发出后，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改变中标结果，或者中标人无正当理由放弃中标的，应当承担相应的法律责任。</w:t>
      </w:r>
    </w:p>
    <w:p w14:paraId="6868DB0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3中标人的投标文件本应作为无效投标处理或者有</w:t>
      </w:r>
      <w:r>
        <w:rPr>
          <w:rFonts w:hint="eastAsia" w:ascii="仿宋_GB2312" w:hAnsi="仿宋_GB2312" w:cs="仿宋_GB2312"/>
          <w:color w:val="auto"/>
          <w:sz w:val="24"/>
          <w:highlight w:val="none"/>
          <w:lang w:eastAsia="zh-CN"/>
        </w:rPr>
        <w:t>其他</w:t>
      </w:r>
      <w:r>
        <w:rPr>
          <w:rFonts w:hint="eastAsia" w:ascii="仿宋_GB2312" w:hAnsi="仿宋_GB2312" w:eastAsia="仿宋_GB2312" w:cs="仿宋_GB2312"/>
          <w:color w:val="auto"/>
          <w:sz w:val="24"/>
          <w:highlight w:val="none"/>
          <w:lang w:eastAsia="zh-CN"/>
        </w:rPr>
        <w:t>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C07D1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.4中标结果将在采购招标信息服务平台（http://www.sccgpt.com）</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公布。</w:t>
      </w:r>
    </w:p>
    <w:p w14:paraId="386C6762">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51" w:name="_Toc7116"/>
      <w:bookmarkStart w:id="152" w:name="_Toc11580"/>
      <w:r>
        <w:rPr>
          <w:rFonts w:hint="eastAsia" w:ascii="仿宋" w:hAnsi="仿宋" w:eastAsia="仿宋" w:cs="仿宋"/>
          <w:b/>
          <w:bCs/>
          <w:color w:val="auto"/>
          <w:highlight w:val="none"/>
        </w:rPr>
        <w:t>六、签订及履行合同和验收</w:t>
      </w:r>
      <w:bookmarkEnd w:id="146"/>
      <w:bookmarkEnd w:id="147"/>
      <w:bookmarkEnd w:id="148"/>
      <w:bookmarkEnd w:id="151"/>
      <w:bookmarkEnd w:id="152"/>
    </w:p>
    <w:p w14:paraId="74241339">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3" w:name="_Toc308164811"/>
      <w:bookmarkStart w:id="154" w:name="_Toc217446065"/>
      <w:bookmarkStart w:id="155" w:name="_Toc79959195"/>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9</w:t>
      </w:r>
      <w:r>
        <w:rPr>
          <w:rFonts w:hint="eastAsia" w:ascii="仿宋_GB2312" w:hAnsi="仿宋_GB2312" w:eastAsia="仿宋_GB2312" w:cs="仿宋_GB2312"/>
          <w:b/>
          <w:bCs/>
          <w:color w:val="auto"/>
          <w:sz w:val="24"/>
          <w:highlight w:val="none"/>
          <w:lang w:eastAsia="zh-CN"/>
        </w:rPr>
        <w:t>.签订合同</w:t>
      </w:r>
      <w:bookmarkEnd w:id="153"/>
      <w:bookmarkEnd w:id="154"/>
    </w:p>
    <w:p w14:paraId="0F07D3C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.1 中标人应在中标通知书发出之日起三十日内与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签订采购合同。由于中标人的原因逾期未与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签订采购合同的，将视为放弃中标，取消其中标资格并将按相关规定进行处理。</w:t>
      </w:r>
    </w:p>
    <w:p w14:paraId="45BC27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 xml:space="preserve">.2 </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不得向中标人提出任何不合理的要求，作为签订合同的条件，不得与中标人私下订立背离合同实质性内容的任何协议，所签订的合同不得对招标文件和中标人投标文件确定的事项进行修改。</w:t>
      </w:r>
    </w:p>
    <w:p w14:paraId="750905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.3 中标人因不可抗力原因不能履行采购合同或放弃中标的，</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可以按评标报告推荐的中标候选人名单排序，确定下一候选人为中标人，也可以重新开展采购活动。</w:t>
      </w:r>
    </w:p>
    <w:p w14:paraId="422DFAE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29.4 </w:t>
      </w:r>
      <w:r>
        <w:rPr>
          <w:rFonts w:hint="eastAsia" w:ascii="仿宋_GB2312" w:hAnsi="仿宋_GB2312" w:eastAsia="仿宋_GB2312" w:cs="仿宋_GB2312"/>
          <w:color w:val="auto"/>
          <w:sz w:val="24"/>
          <w:highlight w:val="none"/>
          <w:lang w:eastAsia="zh-CN"/>
        </w:rPr>
        <w:t>中标人在合同签订之后</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个工作日内，将签订的合同一份送</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编号。</w:t>
      </w:r>
    </w:p>
    <w:p w14:paraId="556DBFAE">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30.合同分包（实质性要求）</w:t>
      </w:r>
    </w:p>
    <w:p w14:paraId="2365F9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本项目</w:t>
      </w:r>
      <w:r>
        <w:rPr>
          <w:rFonts w:hint="eastAsia" w:ascii="仿宋_GB2312" w:hAnsi="仿宋_GB2312" w:eastAsia="仿宋_GB2312" w:cs="仿宋_GB2312"/>
          <w:b/>
          <w:bCs/>
          <w:color w:val="auto"/>
          <w:sz w:val="24"/>
          <w:highlight w:val="none"/>
        </w:rPr>
        <w:t>不允许</w:t>
      </w:r>
      <w:r>
        <w:rPr>
          <w:rFonts w:hint="eastAsia" w:ascii="仿宋_GB2312" w:hAnsi="仿宋_GB2312" w:eastAsia="仿宋_GB2312" w:cs="仿宋_GB2312"/>
          <w:color w:val="auto"/>
          <w:sz w:val="24"/>
          <w:highlight w:val="none"/>
        </w:rPr>
        <w:t>合同任何形式的分包。</w:t>
      </w:r>
    </w:p>
    <w:bookmarkEnd w:id="155"/>
    <w:p w14:paraId="475D57B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6" w:name="_Toc79959196"/>
      <w:bookmarkStart w:id="157" w:name="_Toc217446066"/>
      <w:r>
        <w:rPr>
          <w:rFonts w:hint="eastAsia" w:ascii="仿宋_GB2312" w:hAnsi="仿宋_GB2312" w:eastAsia="仿宋_GB2312" w:cs="仿宋_GB2312"/>
          <w:b/>
          <w:bCs/>
          <w:color w:val="auto"/>
          <w:sz w:val="24"/>
          <w:highlight w:val="none"/>
          <w:lang w:val="en-US" w:eastAsia="zh-CN"/>
        </w:rPr>
        <w:t>31</w:t>
      </w:r>
      <w:r>
        <w:rPr>
          <w:rFonts w:hint="eastAsia" w:ascii="仿宋_GB2312" w:hAnsi="仿宋_GB2312" w:eastAsia="仿宋_GB2312" w:cs="仿宋_GB2312"/>
          <w:b/>
          <w:bCs/>
          <w:color w:val="auto"/>
          <w:sz w:val="24"/>
          <w:highlight w:val="none"/>
          <w:lang w:eastAsia="zh-CN"/>
        </w:rPr>
        <w:t>.合同转包（实质性要求）</w:t>
      </w:r>
    </w:p>
    <w:p w14:paraId="7F299AE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6A848A0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中标人转包的，视同拒绝履行采购合同义务，将依法追究法律责任。</w:t>
      </w:r>
    </w:p>
    <w:bookmarkEnd w:id="156"/>
    <w:bookmarkEnd w:id="157"/>
    <w:p w14:paraId="3AC90FD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8" w:name="_Toc79959198"/>
      <w:bookmarkStart w:id="159" w:name="_Toc217446069"/>
      <w:bookmarkStart w:id="160" w:name="_Toc308164813"/>
      <w:r>
        <w:rPr>
          <w:rFonts w:hint="eastAsia" w:ascii="仿宋_GB2312" w:hAnsi="仿宋_GB2312" w:eastAsia="仿宋_GB2312" w:cs="仿宋_GB2312"/>
          <w:b/>
          <w:bCs/>
          <w:color w:val="auto"/>
          <w:sz w:val="24"/>
          <w:highlight w:val="none"/>
          <w:lang w:val="en-US" w:eastAsia="zh-CN"/>
        </w:rPr>
        <w:t>32</w:t>
      </w:r>
      <w:r>
        <w:rPr>
          <w:rFonts w:hint="eastAsia" w:ascii="仿宋_GB2312" w:hAnsi="仿宋_GB2312" w:eastAsia="仿宋_GB2312" w:cs="仿宋_GB2312"/>
          <w:b/>
          <w:bCs/>
          <w:color w:val="auto"/>
          <w:sz w:val="24"/>
          <w:highlight w:val="none"/>
          <w:lang w:eastAsia="zh-CN"/>
        </w:rPr>
        <w:t>.补充合同</w:t>
      </w:r>
    </w:p>
    <w:p w14:paraId="2C46F76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采购合同履行过程中，</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 xml:space="preserve">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5F9569C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61" w:name="_Toc308164812"/>
      <w:bookmarkStart w:id="162" w:name="_Toc217446068"/>
      <w:r>
        <w:rPr>
          <w:rFonts w:hint="eastAsia" w:ascii="仿宋_GB2312" w:hAnsi="仿宋_GB2312" w:eastAsia="仿宋_GB2312" w:cs="仿宋_GB2312"/>
          <w:b/>
          <w:bCs/>
          <w:color w:val="auto"/>
          <w:sz w:val="24"/>
          <w:highlight w:val="none"/>
          <w:lang w:eastAsia="zh-CN"/>
        </w:rPr>
        <w:t>3</w:t>
      </w:r>
      <w:r>
        <w:rPr>
          <w:rFonts w:hint="eastAsia" w:ascii="仿宋_GB2312" w:hAnsi="仿宋_GB2312" w:eastAsia="仿宋_GB2312" w:cs="仿宋_GB2312"/>
          <w:b/>
          <w:bCs/>
          <w:color w:val="auto"/>
          <w:sz w:val="24"/>
          <w:highlight w:val="none"/>
          <w:lang w:val="en-US" w:eastAsia="zh-CN"/>
        </w:rPr>
        <w:t>3.</w:t>
      </w:r>
      <w:r>
        <w:rPr>
          <w:rFonts w:hint="eastAsia" w:ascii="仿宋_GB2312" w:hAnsi="仿宋_GB2312" w:eastAsia="仿宋_GB2312" w:cs="仿宋_GB2312"/>
          <w:b/>
          <w:bCs/>
          <w:color w:val="auto"/>
          <w:sz w:val="24"/>
          <w:highlight w:val="none"/>
          <w:lang w:eastAsia="zh-CN"/>
        </w:rPr>
        <w:t>履约保证金</w:t>
      </w:r>
      <w:bookmarkEnd w:id="161"/>
      <w:bookmarkEnd w:id="162"/>
    </w:p>
    <w:p w14:paraId="6D4C479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本项目要收取履约保证金：</w:t>
      </w:r>
    </w:p>
    <w:p w14:paraId="3B658E0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金额：中标金额的1%。</w:t>
      </w:r>
    </w:p>
    <w:p w14:paraId="6DF69D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交款方式：☑支票/汇票/本票☑保函/保险向招标人缴纳。</w:t>
      </w:r>
    </w:p>
    <w:p w14:paraId="1753C8E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收款单位：富顺县中医医院</w:t>
      </w:r>
    </w:p>
    <w:p w14:paraId="53CE4599">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开 户 行：四川富顺农村商业银行股份有限公司营业部</w:t>
      </w:r>
    </w:p>
    <w:p w14:paraId="23E240A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银行账号：11820120000037316</w:t>
      </w:r>
    </w:p>
    <w:p w14:paraId="1946211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交款时间：中标通知书发放后，采购合同签订前。</w:t>
      </w:r>
    </w:p>
    <w:p w14:paraId="7F63B53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退还履约金流程：履约保证金退还：耗材供货后6个月，货物无任何质量问题且中标人履行了售后服务义务，招标人凭中标人提供的退还履约保证金申请无息退还履约保证金。</w:t>
      </w:r>
    </w:p>
    <w:p w14:paraId="1BF7F6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履约保证金不予退还情形：未按合同履约不退还。采用非保函形式缴纳的履约保证金在 15 个工作日内无息返还，采用保函形式缴纳的履约保证金在担保有效期后，担保责任终止。</w:t>
      </w:r>
    </w:p>
    <w:p w14:paraId="0587580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递交和退还保函原件时乙方须到甲方现场提供以下证明材料：</w:t>
      </w:r>
    </w:p>
    <w:p w14:paraId="4DAB72F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①法定代表人授权委托书原件；②委托代理人身份证复印件。</w:t>
      </w:r>
    </w:p>
    <w:p w14:paraId="0D33B3E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4</w:t>
      </w:r>
      <w:r>
        <w:rPr>
          <w:rFonts w:hint="eastAsia" w:ascii="仿宋_GB2312" w:hAnsi="仿宋_GB2312" w:eastAsia="仿宋_GB2312" w:cs="仿宋_GB2312"/>
          <w:b/>
          <w:bCs/>
          <w:color w:val="auto"/>
          <w:sz w:val="24"/>
          <w:highlight w:val="none"/>
          <w:lang w:eastAsia="zh-CN"/>
        </w:rPr>
        <w:t>.履行合同</w:t>
      </w:r>
    </w:p>
    <w:p w14:paraId="22C468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.1 中标人与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签订合同后，合同双方应严格执行合同条款，履行合同规定的义务，保证合同的顺利完成。</w:t>
      </w:r>
    </w:p>
    <w:p w14:paraId="03A9F0B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.2 在合同履行过程中，如发生合同纠纷，合同双方应按照《中华人民共和国民法典》的有关规定进行处理。</w:t>
      </w:r>
    </w:p>
    <w:p w14:paraId="0A28CAF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.验收</w:t>
      </w:r>
    </w:p>
    <w:p w14:paraId="5C4E914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.1本项目</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及其委托的</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将严格按照相关法律法规的要求进行验收。</w:t>
      </w:r>
    </w:p>
    <w:p w14:paraId="0AF0E63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验收结果合格的，中标人凭验收报告到</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处办理履约保证金的退付手续；验收结果不合格的，履约保证金将不予退还，也将不予支付采购资金。</w:t>
      </w:r>
    </w:p>
    <w:p w14:paraId="32573722">
      <w:pPr>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.资金支付</w:t>
      </w:r>
    </w:p>
    <w:p w14:paraId="0E2FFD30">
      <w:pPr>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_GB2312" w:hAnsi="仿宋_GB2312" w:eastAsia="仿宋_GB2312" w:cs="仿宋_GB2312"/>
          <w:color w:val="auto"/>
          <w:sz w:val="24"/>
          <w:highlight w:val="none"/>
          <w:lang w:eastAsia="zh-CN"/>
        </w:rPr>
      </w:pP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将按照采购合同规定，及时向</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支付采购资金。</w:t>
      </w:r>
    </w:p>
    <w:bookmarkEnd w:id="149"/>
    <w:bookmarkEnd w:id="150"/>
    <w:bookmarkEnd w:id="158"/>
    <w:bookmarkEnd w:id="159"/>
    <w:bookmarkEnd w:id="160"/>
    <w:p w14:paraId="7E67A4D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63" w:name="_Toc79959202"/>
      <w:bookmarkStart w:id="164" w:name="_Toc20900"/>
      <w:bookmarkStart w:id="165" w:name="_Toc217446074"/>
      <w:bookmarkStart w:id="166" w:name="_Toc308164815"/>
      <w:bookmarkStart w:id="167" w:name="_Toc23099"/>
      <w:bookmarkStart w:id="168" w:name="_Toc183582243"/>
      <w:bookmarkStart w:id="169" w:name="_Toc183682380"/>
      <w:r>
        <w:rPr>
          <w:rFonts w:hint="eastAsia" w:ascii="仿宋" w:hAnsi="仿宋" w:eastAsia="仿宋" w:cs="仿宋"/>
          <w:b/>
          <w:bCs/>
          <w:color w:val="auto"/>
          <w:highlight w:val="none"/>
        </w:rPr>
        <w:t>七、投标纪律要求</w:t>
      </w:r>
      <w:bookmarkEnd w:id="163"/>
      <w:bookmarkEnd w:id="164"/>
      <w:bookmarkEnd w:id="165"/>
      <w:bookmarkEnd w:id="166"/>
      <w:bookmarkEnd w:id="167"/>
    </w:p>
    <w:bookmarkEnd w:id="71"/>
    <w:p w14:paraId="1D82454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70" w:name="_Toc308164816"/>
      <w:bookmarkStart w:id="171" w:name="_Toc217446075"/>
      <w:bookmarkStart w:id="172" w:name="_Toc308164819"/>
      <w:bookmarkStart w:id="173" w:name="_Toc217446078"/>
      <w:bookmarkStart w:id="174" w:name="_Toc79959204"/>
      <w:bookmarkStart w:id="175" w:name="PO_默认文件内容_23"/>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.投标人不得具有的情形</w:t>
      </w:r>
      <w:bookmarkEnd w:id="170"/>
      <w:bookmarkEnd w:id="171"/>
    </w:p>
    <w:p w14:paraId="392148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投标人参加本项目投标不得有下列情形：</w:t>
      </w:r>
    </w:p>
    <w:p w14:paraId="13A164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（1）提供虚假材料谋取中标；</w:t>
      </w:r>
    </w:p>
    <w:p w14:paraId="3DE1F79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（2）采取不正当手段诋毁、排挤其他投标人；</w:t>
      </w:r>
    </w:p>
    <w:p w14:paraId="31D2A29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（3）与招标采购单位、其他投标人恶意串通；</w:t>
      </w:r>
    </w:p>
    <w:p w14:paraId="3AF7E80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（4）向招标采购单位、评标委员会成员行贿或者提供其他不正当利益；</w:t>
      </w:r>
    </w:p>
    <w:p w14:paraId="54A110C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（5）在招标过程中与招标采购单位进行协商投标；</w:t>
      </w:r>
    </w:p>
    <w:p w14:paraId="19B3A38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（6）中标或者中标后无正当理由拒不与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w:t>
      </w:r>
    </w:p>
    <w:p w14:paraId="49F619A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（7）未按照招标文件确定的事项签订采购合同；</w:t>
      </w:r>
    </w:p>
    <w:p w14:paraId="6DCF93D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（8）将采购合同转包或者违规分包；</w:t>
      </w:r>
    </w:p>
    <w:p w14:paraId="365BED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（9）提供假冒伪劣产品；</w:t>
      </w:r>
    </w:p>
    <w:p w14:paraId="344779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（10）擅自变更、中止或者终止采购合同；</w:t>
      </w:r>
    </w:p>
    <w:p w14:paraId="4C7BD9B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（11）拒绝有关部门的监督检查或者向监督检查部门提供虚假情况；</w:t>
      </w:r>
    </w:p>
    <w:p w14:paraId="6B1871C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（12）法律法规规定的其他情形。</w:t>
      </w:r>
    </w:p>
    <w:p w14:paraId="4A7DF09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投标人有上述情形的，按照规定追究法律责任，具备（1）-（</w:t>
      </w: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color w:val="auto"/>
          <w:sz w:val="24"/>
          <w:highlight w:val="none"/>
          <w:lang w:eastAsia="zh-CN"/>
        </w:rPr>
        <w:t>）条情形之一的，同时将取消中标资格或者认定中标无效。</w:t>
      </w:r>
    </w:p>
    <w:bookmarkEnd w:id="168"/>
    <w:bookmarkEnd w:id="169"/>
    <w:bookmarkEnd w:id="172"/>
    <w:bookmarkEnd w:id="173"/>
    <w:bookmarkEnd w:id="174"/>
    <w:p w14:paraId="2869DA02">
      <w:pPr>
        <w:pageBreakBefore w:val="0"/>
        <w:widowControl w:val="0"/>
        <w:kinsoku/>
        <w:wordWrap/>
        <w:overflowPunct/>
        <w:topLinePunct w:val="0"/>
        <w:bidi w:val="0"/>
        <w:snapToGrid/>
        <w:spacing w:line="360" w:lineRule="atLeast"/>
        <w:jc w:val="center"/>
        <w:outlineLvl w:val="9"/>
        <w:rPr>
          <w:rFonts w:ascii="仿宋" w:hAnsi="仿宋" w:eastAsia="仿宋"/>
          <w:b/>
          <w:color w:val="auto"/>
          <w:sz w:val="24"/>
        </w:rPr>
      </w:pPr>
      <w:bookmarkStart w:id="176" w:name="_Toc217446083"/>
    </w:p>
    <w:p w14:paraId="02F8BD30">
      <w:pPr>
        <w:pageBreakBefore w:val="0"/>
        <w:widowControl w:val="0"/>
        <w:kinsoku/>
        <w:wordWrap/>
        <w:overflowPunct/>
        <w:topLinePunct w:val="0"/>
        <w:bidi w:val="0"/>
        <w:snapToGrid/>
        <w:jc w:val="center"/>
        <w:outlineLvl w:val="9"/>
        <w:rPr>
          <w:rFonts w:ascii="仿宋" w:hAnsi="仿宋" w:eastAsia="仿宋"/>
          <w:color w:val="auto"/>
          <w:sz w:val="36"/>
          <w:szCs w:val="36"/>
        </w:rPr>
        <w:sectPr>
          <w:footerReference r:id="rId6" w:type="default"/>
          <w:footerReference r:id="rId7" w:type="even"/>
          <w:pgSz w:w="11907" w:h="16840"/>
          <w:pgMar w:top="1417" w:right="1134" w:bottom="1417" w:left="1134" w:header="851" w:footer="992" w:gutter="0"/>
          <w:pgNumType w:fmt="decimal" w:start="1"/>
          <w:cols w:space="720" w:num="1"/>
          <w:docGrid w:linePitch="312" w:charSpace="0"/>
        </w:sectPr>
      </w:pPr>
      <w:bookmarkStart w:id="177" w:name="_Toc24369"/>
      <w:bookmarkStart w:id="178" w:name="_Toc1368"/>
    </w:p>
    <w:p w14:paraId="5240F6C6">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79" w:name="_Toc79959207"/>
      <w:bookmarkStart w:id="180" w:name="_Toc10190"/>
      <w:bookmarkStart w:id="181" w:name="_Toc10106"/>
      <w:r>
        <w:rPr>
          <w:rFonts w:hint="eastAsia" w:ascii="仿宋" w:hAnsi="仿宋" w:eastAsia="仿宋" w:cs="Times New Roman"/>
          <w:b/>
          <w:bCs/>
          <w:color w:val="auto"/>
          <w:sz w:val="36"/>
          <w:szCs w:val="36"/>
        </w:rPr>
        <w:t>第三章  投标文件格式</w:t>
      </w:r>
      <w:bookmarkEnd w:id="177"/>
      <w:bookmarkEnd w:id="178"/>
      <w:bookmarkEnd w:id="179"/>
      <w:bookmarkEnd w:id="180"/>
      <w:bookmarkEnd w:id="181"/>
      <w:bookmarkStart w:id="182" w:name="_Toc308164821"/>
      <w:bookmarkStart w:id="183" w:name="_Toc217446082"/>
    </w:p>
    <w:p w14:paraId="7D5D106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4" w:name="_Toc79959208"/>
      <w:r>
        <w:rPr>
          <w:rFonts w:hint="eastAsia" w:ascii="仿宋" w:hAnsi="仿宋" w:eastAsia="仿宋"/>
          <w:color w:val="auto"/>
          <w:sz w:val="24"/>
        </w:rPr>
        <w:t>一、本章所制投标文件格式，除格式中明确将该格式作为实质性要求的，一律不具有强制性，但是，投标人投标文件相关资料和本章所制格式不一致的，评标委员会将在评分时以投标文件不规范予以扣分处理。</w:t>
      </w:r>
      <w:bookmarkEnd w:id="184"/>
    </w:p>
    <w:p w14:paraId="36F9E33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5" w:name="_Toc79959209"/>
      <w:r>
        <w:rPr>
          <w:rFonts w:hint="eastAsia" w:ascii="仿宋" w:hAnsi="仿宋" w:eastAsia="仿宋"/>
          <w:color w:val="auto"/>
          <w:sz w:val="24"/>
        </w:rPr>
        <w:t>二、本章所制投标文件格式有关表格中的备注栏，由投标人根据自身投标情况作解释性说明，不作为必填项。</w:t>
      </w:r>
      <w:bookmarkEnd w:id="185"/>
    </w:p>
    <w:p w14:paraId="40CE46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6" w:name="_Toc79959210"/>
      <w:r>
        <w:rPr>
          <w:rFonts w:hint="eastAsia" w:ascii="仿宋" w:hAnsi="仿宋" w:eastAsia="仿宋"/>
          <w:color w:val="auto"/>
          <w:sz w:val="24"/>
        </w:rPr>
        <w:t>三、本章所制投标文件格式中需要填写的相关内容事项，可能会与本采购项目无关，在不改变投标文件原义、不影响本项目采购需求的情况下，投标人可以不予填写，但应当注明。</w:t>
      </w:r>
      <w:bookmarkEnd w:id="175"/>
      <w:bookmarkEnd w:id="186"/>
    </w:p>
    <w:p w14:paraId="75C9358A">
      <w:pPr>
        <w:keepNext w:val="0"/>
        <w:keepLines w:val="0"/>
        <w:pageBreakBefore w:val="0"/>
        <w:widowControl w:val="0"/>
        <w:tabs>
          <w:tab w:val="left" w:pos="900"/>
        </w:tabs>
        <w:kinsoku/>
        <w:wordWrap/>
        <w:overflowPunct/>
        <w:topLinePunct w:val="0"/>
        <w:autoSpaceDE/>
        <w:autoSpaceDN/>
        <w:bidi w:val="0"/>
        <w:adjustRightInd/>
        <w:snapToGrid/>
        <w:spacing w:line="360" w:lineRule="auto"/>
        <w:jc w:val="center"/>
        <w:textAlignment w:val="auto"/>
        <w:outlineLvl w:val="9"/>
        <w:rPr>
          <w:rFonts w:ascii="仿宋" w:hAnsi="仿宋" w:eastAsia="仿宋"/>
          <w:b/>
          <w:color w:val="auto"/>
          <w:sz w:val="32"/>
        </w:rPr>
      </w:pPr>
      <w:r>
        <w:rPr>
          <w:rFonts w:hint="eastAsia" w:ascii="仿宋" w:hAnsi="仿宋" w:eastAsia="仿宋"/>
          <w:b/>
          <w:color w:val="auto"/>
          <w:sz w:val="32"/>
          <w:szCs w:val="32"/>
        </w:rPr>
        <w:br w:type="page"/>
      </w:r>
      <w:bookmarkStart w:id="187" w:name="PO_默认文件内容_24"/>
    </w:p>
    <w:p w14:paraId="7CEA9E38">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rPr>
      </w:pPr>
      <w:bookmarkStart w:id="188" w:name="_Toc19804"/>
      <w:bookmarkStart w:id="189" w:name="_Toc17333"/>
      <w:bookmarkStart w:id="190" w:name="_Toc10633"/>
      <w:bookmarkStart w:id="191" w:name="_Toc26263"/>
      <w:bookmarkStart w:id="192" w:name="_Toc9603"/>
      <w:bookmarkStart w:id="193" w:name="_Toc21431"/>
      <w:bookmarkStart w:id="194" w:name="_Toc11874"/>
      <w:bookmarkStart w:id="195" w:name="_Toc25977"/>
      <w:bookmarkStart w:id="196" w:name="_Toc31101"/>
      <w:bookmarkStart w:id="197" w:name="_Toc8182"/>
      <w:bookmarkStart w:id="198" w:name="_Toc13135"/>
      <w:r>
        <w:rPr>
          <w:rFonts w:hint="eastAsia" w:ascii="仿宋" w:hAnsi="仿宋" w:eastAsia="仿宋" w:cs="仿宋"/>
          <w:b/>
          <w:bCs/>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4267200</wp:posOffset>
                </wp:positionH>
                <wp:positionV relativeFrom="paragraph">
                  <wp:posOffset>31750</wp:posOffset>
                </wp:positionV>
                <wp:extent cx="1714500" cy="503555"/>
                <wp:effectExtent l="4445" t="4445" r="14605" b="6350"/>
                <wp:wrapNone/>
                <wp:docPr id="10" name="矩形 10"/>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349AE7">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6pt;margin-top:2.5pt;height:39.65pt;width:135pt;z-index:251659264;mso-width-relative:page;mso-height-relative:page;" fillcolor="#FFFFFF" filled="t" stroked="t" coordsize="21600,21600" o:gfxdata="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bN2Q1wAAAAgBAAAPAAAAAAAAAAEAIAAAACIAAABkcnMv&#10;ZG93bnJldi54bWxQSwECFAAUAAAACACHTuJAfdejhgQCAAA5BAAADgAAAAAAAAABACAAAAAmAQAA&#10;ZHJzL2Uyb0RvYy54bWxQSwUGAAAAAAYABgBZAQAAnAUAAAAA&#10;">
                <v:fill on="t" focussize="0,0"/>
                <v:stroke color="#000000" joinstyle="miter"/>
                <v:imagedata o:title=""/>
                <o:lock v:ext="edit" aspectratio="f"/>
                <v:textbox>
                  <w:txbxContent>
                    <w:p w14:paraId="50349AE7">
                      <w:pPr>
                        <w:jc w:val="center"/>
                        <w:rPr>
                          <w:rFonts w:hint="eastAsia"/>
                          <w:b/>
                          <w:sz w:val="44"/>
                          <w:szCs w:val="44"/>
                        </w:rPr>
                      </w:pPr>
                      <w:r>
                        <w:rPr>
                          <w:rFonts w:hint="eastAsia"/>
                          <w:b/>
                          <w:sz w:val="44"/>
                          <w:szCs w:val="44"/>
                        </w:rPr>
                        <w:t>正本或副本</w:t>
                      </w:r>
                    </w:p>
                  </w:txbxContent>
                </v:textbox>
              </v:rect>
            </w:pict>
          </mc:Fallback>
        </mc:AlternateContent>
      </w:r>
      <w:bookmarkEnd w:id="188"/>
      <w:bookmarkEnd w:id="189"/>
      <w:bookmarkEnd w:id="190"/>
      <w:bookmarkEnd w:id="191"/>
      <w:bookmarkEnd w:id="192"/>
      <w:bookmarkStart w:id="199" w:name="_Toc7019"/>
      <w:bookmarkStart w:id="200" w:name="_Toc22878"/>
      <w:bookmarkStart w:id="201" w:name="_Toc10715"/>
      <w:bookmarkStart w:id="202" w:name="_Toc13822"/>
      <w:r>
        <w:rPr>
          <w:rFonts w:hint="eastAsia" w:ascii="仿宋" w:hAnsi="仿宋" w:eastAsia="仿宋" w:cs="仿宋"/>
          <w:b/>
          <w:bCs/>
          <w:color w:val="auto"/>
          <w:sz w:val="30"/>
          <w:szCs w:val="30"/>
          <w:highlight w:val="none"/>
          <w:lang w:val="en-US" w:eastAsia="zh-CN"/>
        </w:rPr>
        <w:t>格式1</w:t>
      </w:r>
      <w:r>
        <w:rPr>
          <w:rFonts w:hint="eastAsia" w:ascii="仿宋" w:hAnsi="仿宋" w:eastAsia="仿宋" w:cs="仿宋"/>
          <w:b/>
          <w:bCs/>
          <w:color w:val="auto"/>
          <w:sz w:val="30"/>
          <w:szCs w:val="30"/>
          <w:highlight w:val="none"/>
        </w:rPr>
        <w:t>封面格式</w:t>
      </w:r>
      <w:bookmarkEnd w:id="193"/>
      <w:bookmarkEnd w:id="194"/>
      <w:bookmarkEnd w:id="195"/>
      <w:bookmarkEnd w:id="196"/>
      <w:bookmarkEnd w:id="199"/>
      <w:bookmarkEnd w:id="200"/>
      <w:bookmarkEnd w:id="201"/>
      <w:bookmarkEnd w:id="202"/>
    </w:p>
    <w:p w14:paraId="7DE79367">
      <w:pPr>
        <w:pStyle w:val="61"/>
        <w:keepNext w:val="0"/>
        <w:keepLines w:val="0"/>
        <w:pageBreakBefore w:val="0"/>
        <w:widowControl w:val="0"/>
        <w:kinsoku/>
        <w:wordWrap/>
        <w:overflowPunct/>
        <w:topLinePunct w:val="0"/>
        <w:bidi w:val="0"/>
        <w:snapToGrid/>
        <w:spacing w:line="360" w:lineRule="auto"/>
        <w:rPr>
          <w:rFonts w:hint="eastAsia" w:ascii="仿宋" w:hAnsi="仿宋" w:eastAsia="仿宋" w:cs="仿宋"/>
          <w:color w:val="auto"/>
          <w:sz w:val="24"/>
          <w:szCs w:val="24"/>
          <w:highlight w:val="none"/>
        </w:rPr>
      </w:pPr>
    </w:p>
    <w:p w14:paraId="41C870E2">
      <w:pPr>
        <w:pStyle w:val="61"/>
        <w:keepNext w:val="0"/>
        <w:keepLines w:val="0"/>
        <w:pageBreakBefore w:val="0"/>
        <w:widowControl w:val="0"/>
        <w:kinsoku/>
        <w:wordWrap/>
        <w:overflowPunct/>
        <w:topLinePunct w:val="0"/>
        <w:bidi w:val="0"/>
        <w:snapToGrid/>
        <w:spacing w:line="360" w:lineRule="auto"/>
        <w:jc w:val="both"/>
        <w:rPr>
          <w:rFonts w:hint="eastAsia" w:ascii="仿宋" w:hAnsi="仿宋" w:eastAsia="仿宋" w:cs="仿宋"/>
          <w:b/>
          <w:color w:val="auto"/>
          <w:sz w:val="24"/>
          <w:szCs w:val="24"/>
          <w:highlight w:val="none"/>
          <w:lang w:eastAsia="zh-CN"/>
        </w:rPr>
      </w:pPr>
    </w:p>
    <w:p w14:paraId="42043F8B">
      <w:pPr>
        <w:pStyle w:val="61"/>
        <w:keepNext w:val="0"/>
        <w:keepLines w:val="0"/>
        <w:pageBreakBefore w:val="0"/>
        <w:widowControl w:val="0"/>
        <w:kinsoku/>
        <w:wordWrap/>
        <w:overflowPunct/>
        <w:topLinePunct w:val="0"/>
        <w:bidi w:val="0"/>
        <w:snapToGrid/>
        <w:spacing w:line="360" w:lineRule="auto"/>
        <w:ind w:left="0" w:leftChars="0" w:firstLine="0" w:firstLineChars="0"/>
        <w:jc w:val="center"/>
        <w:rPr>
          <w:rFonts w:hint="eastAsia" w:ascii="仿宋" w:hAnsi="仿宋" w:eastAsia="仿宋" w:cs="仿宋"/>
          <w:b/>
          <w:color w:val="auto"/>
          <w:sz w:val="52"/>
          <w:szCs w:val="52"/>
          <w:highlight w:val="none"/>
          <w:lang w:eastAsia="zh-CN"/>
        </w:rPr>
      </w:pPr>
    </w:p>
    <w:p w14:paraId="29F3357E">
      <w:pPr>
        <w:pStyle w:val="61"/>
        <w:keepNext w:val="0"/>
        <w:keepLines w:val="0"/>
        <w:pageBreakBefore w:val="0"/>
        <w:kinsoku/>
        <w:wordWrap/>
        <w:overflowPunct/>
        <w:topLinePunct w:val="0"/>
        <w:bidi w:val="0"/>
        <w:spacing w:line="360" w:lineRule="auto"/>
        <w:ind w:left="0" w:leftChars="0" w:firstLine="0" w:firstLineChars="0"/>
        <w:jc w:val="center"/>
        <w:rPr>
          <w:rFonts w:hint="default" w:ascii="仿宋" w:hAnsi="仿宋" w:eastAsia="仿宋" w:cs="仿宋"/>
          <w:b/>
          <w:color w:val="auto"/>
          <w:sz w:val="52"/>
          <w:szCs w:val="52"/>
          <w:highlight w:val="none"/>
          <w:lang w:val="en-US" w:eastAsia="zh-CN"/>
        </w:rPr>
      </w:pPr>
      <w:r>
        <w:rPr>
          <w:rFonts w:hint="eastAsia" w:ascii="仿宋" w:hAnsi="仿宋" w:eastAsia="仿宋" w:cs="仿宋"/>
          <w:b/>
          <w:color w:val="auto"/>
          <w:sz w:val="52"/>
          <w:szCs w:val="52"/>
          <w:highlight w:val="none"/>
          <w:lang w:eastAsia="zh-CN"/>
        </w:rPr>
        <w:t>资格技术投标</w:t>
      </w:r>
      <w:r>
        <w:rPr>
          <w:rFonts w:hint="eastAsia" w:ascii="仿宋" w:hAnsi="仿宋" w:eastAsia="仿宋" w:cs="仿宋"/>
          <w:b/>
          <w:color w:val="auto"/>
          <w:sz w:val="52"/>
          <w:szCs w:val="52"/>
          <w:highlight w:val="none"/>
        </w:rPr>
        <w:t>文件</w:t>
      </w:r>
      <w:r>
        <w:rPr>
          <w:rFonts w:hint="eastAsia" w:ascii="仿宋" w:hAnsi="仿宋" w:eastAsia="仿宋" w:cs="仿宋"/>
          <w:b/>
          <w:color w:val="auto"/>
          <w:sz w:val="52"/>
          <w:szCs w:val="52"/>
          <w:highlight w:val="none"/>
          <w:lang w:val="en-US" w:eastAsia="zh-CN"/>
        </w:rPr>
        <w:t>/开标一览表</w:t>
      </w:r>
    </w:p>
    <w:p w14:paraId="264520A3">
      <w:pPr>
        <w:pStyle w:val="61"/>
        <w:keepNext w:val="0"/>
        <w:keepLines w:val="0"/>
        <w:pageBreakBefore w:val="0"/>
        <w:widowControl w:val="0"/>
        <w:kinsoku/>
        <w:wordWrap/>
        <w:overflowPunct/>
        <w:topLinePunct w:val="0"/>
        <w:bidi w:val="0"/>
        <w:snapToGrid/>
        <w:spacing w:line="360" w:lineRule="auto"/>
        <w:jc w:val="center"/>
        <w:rPr>
          <w:rFonts w:hint="eastAsia" w:ascii="仿宋" w:hAnsi="仿宋" w:eastAsia="仿宋" w:cs="仿宋"/>
          <w:color w:val="auto"/>
          <w:sz w:val="24"/>
          <w:szCs w:val="24"/>
          <w:highlight w:val="none"/>
        </w:rPr>
      </w:pPr>
    </w:p>
    <w:p w14:paraId="085D8F16">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招标编号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7D67F400">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eastAsia="zh-CN"/>
        </w:rPr>
        <w:t>招标包号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CCB9955">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eastAsia="zh-CN"/>
        </w:rPr>
        <w:t>招标名称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36EBD8F">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投标人名称</w:t>
      </w:r>
      <w:r>
        <w:rPr>
          <w:rFonts w:hint="eastAsia" w:ascii="仿宋" w:hAnsi="仿宋" w:eastAsia="仿宋" w:cs="仿宋"/>
          <w:color w:val="auto"/>
          <w:sz w:val="28"/>
          <w:szCs w:val="28"/>
          <w:highlight w:val="none"/>
        </w:rPr>
        <w:t>（加盖公章）：</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236561D8">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41761550">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DB98323">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0990434">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月     日 </w:t>
      </w:r>
    </w:p>
    <w:p w14:paraId="777B6DCF">
      <w:pPr>
        <w:keepNext w:val="0"/>
        <w:keepLines w:val="0"/>
        <w:pageBreakBefore w:val="0"/>
        <w:widowControl w:val="0"/>
        <w:kinsoku/>
        <w:wordWrap/>
        <w:overflowPunct/>
        <w:topLinePunct w:val="0"/>
        <w:bidi w:val="0"/>
        <w:snapToGrid/>
        <w:spacing w:line="360" w:lineRule="auto"/>
        <w:rPr>
          <w:rFonts w:hint="eastAsia" w:ascii="仿宋" w:hAnsi="仿宋" w:eastAsia="仿宋" w:cs="仿宋"/>
          <w:b/>
          <w:color w:val="auto"/>
          <w:sz w:val="24"/>
          <w:szCs w:val="24"/>
          <w:highlight w:val="none"/>
        </w:rPr>
        <w:sectPr>
          <w:footerReference r:id="rId8" w:type="default"/>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3272321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03" w:name="_Toc2774"/>
      <w:bookmarkStart w:id="204" w:name="_Toc182"/>
      <w:bookmarkStart w:id="205" w:name="_Toc19492"/>
      <w:bookmarkStart w:id="206" w:name="_Toc10976"/>
      <w:bookmarkStart w:id="207" w:name="_Toc27659"/>
      <w:bookmarkStart w:id="208" w:name="_Toc10248"/>
      <w:bookmarkStart w:id="209" w:name="_Toc17224"/>
      <w:bookmarkStart w:id="210" w:name="_Toc17510"/>
      <w:bookmarkStart w:id="211" w:name="_Toc29413"/>
      <w:r>
        <w:rPr>
          <w:rFonts w:hint="eastAsia" w:ascii="仿宋" w:hAnsi="仿宋" w:eastAsia="仿宋" w:cs="仿宋"/>
          <w:b/>
          <w:bCs/>
          <w:color w:val="auto"/>
          <w:sz w:val="30"/>
          <w:szCs w:val="30"/>
          <w:highlight w:val="none"/>
          <w:lang w:val="en-US" w:eastAsia="zh-CN"/>
        </w:rPr>
        <w:t>格式2具有独立承担民事责任的能力</w:t>
      </w:r>
      <w:bookmarkEnd w:id="203"/>
      <w:bookmarkEnd w:id="204"/>
      <w:bookmarkEnd w:id="205"/>
      <w:bookmarkEnd w:id="206"/>
      <w:bookmarkEnd w:id="207"/>
      <w:bookmarkEnd w:id="208"/>
      <w:bookmarkEnd w:id="209"/>
      <w:bookmarkEnd w:id="210"/>
      <w:bookmarkEnd w:id="211"/>
    </w:p>
    <w:p w14:paraId="3D4928F5">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color w:val="auto"/>
          <w:sz w:val="24"/>
          <w:highlight w:val="none"/>
        </w:rPr>
      </w:pPr>
    </w:p>
    <w:p w14:paraId="2FD3018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12" w:name="_Toc6684"/>
      <w:r>
        <w:rPr>
          <w:rFonts w:hint="eastAsia" w:ascii="仿宋" w:hAnsi="仿宋" w:eastAsia="仿宋" w:cs="仿宋"/>
          <w:b/>
          <w:color w:val="auto"/>
          <w:sz w:val="24"/>
          <w:szCs w:val="24"/>
          <w:highlight w:val="none"/>
          <w:lang w:val="en-US" w:eastAsia="zh-CN"/>
        </w:rPr>
        <w:t>根据第五章要求提供</w:t>
      </w:r>
    </w:p>
    <w:p w14:paraId="2A660DF1">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13" w:name="_Toc19814"/>
      <w:bookmarkStart w:id="214" w:name="_Toc2452"/>
      <w:bookmarkStart w:id="215" w:name="_Toc28237"/>
      <w:bookmarkStart w:id="216" w:name="_Toc9618"/>
      <w:bookmarkStart w:id="217" w:name="_Toc27318"/>
      <w:bookmarkStart w:id="218" w:name="_Toc18627"/>
      <w:bookmarkStart w:id="219" w:name="_Toc5041"/>
      <w:bookmarkStart w:id="220" w:name="_Toc8776"/>
      <w:r>
        <w:rPr>
          <w:rFonts w:hint="eastAsia" w:ascii="仿宋" w:hAnsi="仿宋" w:eastAsia="仿宋" w:cs="仿宋"/>
          <w:b/>
          <w:bCs/>
          <w:color w:val="auto"/>
          <w:sz w:val="30"/>
          <w:szCs w:val="30"/>
          <w:highlight w:val="none"/>
          <w:lang w:val="en-US" w:eastAsia="zh-CN"/>
        </w:rPr>
        <w:t>格式3具有良好的商业信誉和健全的财务会计制度</w:t>
      </w:r>
      <w:bookmarkEnd w:id="212"/>
      <w:bookmarkEnd w:id="213"/>
      <w:bookmarkEnd w:id="214"/>
      <w:bookmarkEnd w:id="215"/>
      <w:bookmarkEnd w:id="216"/>
      <w:bookmarkEnd w:id="217"/>
      <w:bookmarkEnd w:id="218"/>
      <w:bookmarkEnd w:id="219"/>
      <w:bookmarkEnd w:id="220"/>
    </w:p>
    <w:p w14:paraId="7E910CA4">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bookmarkStart w:id="221" w:name="_Toc17058"/>
    </w:p>
    <w:p w14:paraId="13D458EE">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（一）具有良好的商业信誉承诺</w:t>
      </w:r>
    </w:p>
    <w:p w14:paraId="53E2FDE8">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致：四川虹采招标代理有限责任公司</w:t>
      </w:r>
    </w:p>
    <w:p w14:paraId="5746079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我单位现参与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项目（招标编号：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），并作出如下承诺：</w:t>
      </w:r>
    </w:p>
    <w:p w14:paraId="17A0C61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我单位</w:t>
      </w:r>
      <w:r>
        <w:rPr>
          <w:rFonts w:hint="eastAsia" w:ascii="仿宋" w:hAnsi="仿宋" w:eastAsia="仿宋" w:cs="仿宋"/>
          <w:color w:val="auto"/>
          <w:sz w:val="24"/>
          <w:szCs w:val="24"/>
          <w:highlight w:val="none"/>
          <w:lang w:val="en-US" w:eastAsia="zh-CN"/>
        </w:rPr>
        <w:t>具有良好的商业信誉</w:t>
      </w:r>
      <w:r>
        <w:rPr>
          <w:rFonts w:hint="eastAsia" w:ascii="仿宋" w:hAnsi="仿宋" w:eastAsia="仿宋" w:cs="仿宋"/>
          <w:color w:val="auto"/>
          <w:sz w:val="24"/>
          <w:szCs w:val="24"/>
        </w:rPr>
        <w:t>，随时接受</w:t>
      </w:r>
      <w:r>
        <w:rPr>
          <w:rFonts w:hint="eastAsia" w:ascii="仿宋" w:hAnsi="仿宋" w:eastAsia="仿宋" w:cs="仿宋"/>
          <w:color w:val="auto"/>
          <w:sz w:val="24"/>
          <w:szCs w:val="24"/>
          <w:lang w:eastAsia="zh-CN"/>
        </w:rPr>
        <w:t>招标人</w:t>
      </w:r>
      <w:r>
        <w:rPr>
          <w:rFonts w:hint="eastAsia" w:ascii="仿宋" w:hAnsi="仿宋" w:eastAsia="仿宋" w:cs="仿宋"/>
          <w:color w:val="auto"/>
          <w:sz w:val="24"/>
          <w:szCs w:val="24"/>
        </w:rPr>
        <w:t>的检查验证。如违反上述承诺，我单位将按照相关规定接受处罚，并通过媒体予以公布。</w:t>
      </w:r>
    </w:p>
    <w:p w14:paraId="5F81D8CD">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特此承诺。</w:t>
      </w:r>
    </w:p>
    <w:p w14:paraId="14F192FA">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11186931">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03D3E71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52062AF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XX日</w:t>
      </w:r>
    </w:p>
    <w:p w14:paraId="7B893B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p>
    <w:p w14:paraId="613F542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p>
    <w:p w14:paraId="6543237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（二）</w:t>
      </w:r>
      <w:r>
        <w:rPr>
          <w:rFonts w:hint="eastAsia" w:hAnsi="宋体"/>
          <w:b/>
          <w:bCs/>
          <w:color w:val="auto"/>
          <w:sz w:val="28"/>
          <w:szCs w:val="28"/>
          <w:highlight w:val="none"/>
          <w:lang w:val="en-US" w:eastAsia="zh-CN"/>
        </w:rPr>
        <w:t>具有</w:t>
      </w:r>
      <w:r>
        <w:rPr>
          <w:rFonts w:hint="eastAsia" w:ascii="宋体" w:hAnsi="宋体"/>
          <w:b/>
          <w:bCs/>
          <w:color w:val="auto"/>
          <w:sz w:val="28"/>
          <w:szCs w:val="28"/>
          <w:highlight w:val="none"/>
          <w:lang w:val="en-US" w:eastAsia="zh-CN"/>
        </w:rPr>
        <w:t>健全的财务</w:t>
      </w:r>
      <w:r>
        <w:rPr>
          <w:rFonts w:hint="eastAsia" w:hAnsi="宋体"/>
          <w:b/>
          <w:bCs/>
          <w:color w:val="auto"/>
          <w:sz w:val="28"/>
          <w:szCs w:val="28"/>
          <w:highlight w:val="none"/>
          <w:lang w:val="en-US" w:eastAsia="zh-CN"/>
        </w:rPr>
        <w:t>会计</w:t>
      </w:r>
      <w:r>
        <w:rPr>
          <w:rFonts w:hint="eastAsia" w:ascii="宋体" w:hAnsi="宋体"/>
          <w:b/>
          <w:bCs/>
          <w:color w:val="auto"/>
          <w:sz w:val="28"/>
          <w:szCs w:val="28"/>
          <w:highlight w:val="none"/>
          <w:lang w:val="en-US" w:eastAsia="zh-CN"/>
        </w:rPr>
        <w:t>制度</w:t>
      </w:r>
    </w:p>
    <w:p w14:paraId="13F31773">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center"/>
        <w:textAlignment w:val="auto"/>
        <w:outlineLvl w:val="9"/>
        <w:rPr>
          <w:rFonts w:hint="eastAsia" w:ascii="宋体" w:hAnsi="宋体" w:eastAsia="宋体" w:cs="宋体"/>
          <w:b/>
          <w:color w:val="auto"/>
          <w:sz w:val="24"/>
          <w:szCs w:val="24"/>
          <w:highlight w:val="none"/>
          <w:lang w:val="en-US" w:eastAsia="zh-CN"/>
        </w:rPr>
        <w:sectPr>
          <w:footerReference r:id="rId9"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b/>
          <w:color w:val="auto"/>
          <w:sz w:val="24"/>
          <w:szCs w:val="24"/>
          <w:highlight w:val="none"/>
          <w:lang w:val="en-US" w:eastAsia="zh-CN"/>
        </w:rPr>
        <w:t>根据第五章要求提供</w:t>
      </w:r>
    </w:p>
    <w:p w14:paraId="4C3BC42F">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22" w:name="_Toc14634"/>
      <w:bookmarkStart w:id="223" w:name="_Toc11803"/>
      <w:bookmarkStart w:id="224" w:name="_Toc15175"/>
      <w:bookmarkStart w:id="225" w:name="_Toc962"/>
      <w:bookmarkStart w:id="226" w:name="_Toc22172"/>
      <w:bookmarkStart w:id="227" w:name="_Toc2262"/>
      <w:bookmarkStart w:id="228" w:name="_Toc28991"/>
      <w:bookmarkStart w:id="229" w:name="_Toc17277"/>
      <w:r>
        <w:rPr>
          <w:rFonts w:hint="eastAsia" w:ascii="仿宋" w:hAnsi="仿宋" w:eastAsia="仿宋" w:cs="仿宋"/>
          <w:b/>
          <w:bCs/>
          <w:color w:val="auto"/>
          <w:sz w:val="30"/>
          <w:szCs w:val="30"/>
          <w:highlight w:val="none"/>
          <w:lang w:val="en-US" w:eastAsia="zh-CN"/>
        </w:rPr>
        <w:t>格式4具有履行合同所必需的设备和专业技术能力</w:t>
      </w:r>
      <w:bookmarkEnd w:id="221"/>
      <w:bookmarkEnd w:id="222"/>
      <w:bookmarkEnd w:id="223"/>
      <w:bookmarkEnd w:id="224"/>
      <w:bookmarkEnd w:id="225"/>
      <w:bookmarkEnd w:id="226"/>
      <w:bookmarkEnd w:id="227"/>
      <w:bookmarkEnd w:id="228"/>
      <w:bookmarkEnd w:id="229"/>
    </w:p>
    <w:p w14:paraId="4D4DA88B">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30"/>
          <w:szCs w:val="30"/>
          <w:highlight w:val="none"/>
          <w:lang w:val="en-US" w:eastAsia="zh-CN"/>
        </w:rPr>
      </w:pPr>
    </w:p>
    <w:p w14:paraId="59DFCF7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30" w:name="_Toc8721"/>
      <w:bookmarkStart w:id="231" w:name="_Toc21694"/>
      <w:bookmarkStart w:id="232" w:name="_Toc22056"/>
      <w:r>
        <w:rPr>
          <w:rFonts w:hint="eastAsia" w:ascii="仿宋" w:hAnsi="仿宋" w:eastAsia="仿宋" w:cs="仿宋"/>
          <w:b/>
          <w:color w:val="auto"/>
          <w:sz w:val="24"/>
          <w:szCs w:val="24"/>
          <w:highlight w:val="none"/>
          <w:lang w:val="en-US" w:eastAsia="zh-CN"/>
        </w:rPr>
        <w:t>根据第五章要求提供</w:t>
      </w:r>
    </w:p>
    <w:p w14:paraId="7217E84A">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4"/>
          <w:szCs w:val="24"/>
          <w:highlight w:val="none"/>
          <w:lang w:val="en-US" w:eastAsia="zh-CN"/>
        </w:rPr>
        <w:br w:type="page"/>
      </w:r>
      <w:bookmarkStart w:id="233" w:name="_Toc14014"/>
      <w:bookmarkStart w:id="234" w:name="_Toc17850"/>
      <w:bookmarkStart w:id="235" w:name="_Toc13070"/>
      <w:bookmarkStart w:id="236" w:name="_Toc5398"/>
      <w:bookmarkStart w:id="237" w:name="_Toc8314"/>
      <w:bookmarkStart w:id="238" w:name="_Toc2865"/>
      <w:r>
        <w:rPr>
          <w:rFonts w:hint="eastAsia" w:ascii="仿宋" w:hAnsi="仿宋" w:eastAsia="仿宋" w:cs="仿宋"/>
          <w:b/>
          <w:bCs/>
          <w:color w:val="auto"/>
          <w:sz w:val="30"/>
          <w:szCs w:val="30"/>
          <w:highlight w:val="none"/>
          <w:lang w:val="en-US" w:eastAsia="zh-CN"/>
        </w:rPr>
        <w:t>格式5具有依法缴纳税收和社会保障资金的良好记录</w:t>
      </w:r>
      <w:bookmarkEnd w:id="230"/>
      <w:bookmarkEnd w:id="231"/>
      <w:bookmarkEnd w:id="232"/>
      <w:bookmarkEnd w:id="233"/>
      <w:bookmarkEnd w:id="234"/>
      <w:bookmarkEnd w:id="235"/>
      <w:bookmarkEnd w:id="236"/>
      <w:bookmarkEnd w:id="237"/>
      <w:bookmarkEnd w:id="238"/>
    </w:p>
    <w:p w14:paraId="49AF278A">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p>
    <w:p w14:paraId="06467B0C">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依法缴纳税收和社会保障资金的承诺函</w:t>
      </w:r>
    </w:p>
    <w:p w14:paraId="4F767DE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3F46FCD5">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58B43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我单位依法缴纳税收和员工社会保险，</w:t>
      </w:r>
      <w:r>
        <w:rPr>
          <w:rFonts w:hint="eastAsia" w:ascii="仿宋" w:hAnsi="仿宋" w:eastAsia="仿宋" w:cs="仿宋"/>
          <w:color w:val="auto"/>
          <w:sz w:val="24"/>
          <w:szCs w:val="24"/>
          <w:highlight w:val="none"/>
          <w:lang w:eastAsia="zh-CN"/>
        </w:rPr>
        <w:t>具有良好记录</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1B18C458">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19F50579">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5FF2FC58">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40A9984E">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0C4CC4B">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b/>
          <w:color w:val="auto"/>
          <w:sz w:val="24"/>
          <w:szCs w:val="24"/>
          <w:highlight w:val="none"/>
          <w:lang w:val="en-US" w:eastAsia="zh-CN"/>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lang w:val="en-US" w:eastAsia="zh-CN"/>
        </w:rPr>
        <w:t>:XXXX年XX月XX日</w:t>
      </w:r>
    </w:p>
    <w:p w14:paraId="2616F8A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default" w:ascii="仿宋" w:hAnsi="仿宋" w:eastAsia="仿宋" w:cs="仿宋"/>
          <w:b/>
          <w:color w:val="auto"/>
          <w:sz w:val="24"/>
          <w:szCs w:val="24"/>
          <w:highlight w:val="none"/>
          <w:lang w:val="en-US" w:eastAsia="zh-CN"/>
        </w:rPr>
        <w:sectPr>
          <w:footerReference r:id="rId10"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p>
    <w:p w14:paraId="7DB1389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39" w:name="_Toc22868"/>
      <w:bookmarkStart w:id="240" w:name="_Toc6050"/>
      <w:bookmarkStart w:id="241" w:name="_Toc30156"/>
      <w:bookmarkStart w:id="242" w:name="_Toc9110"/>
      <w:bookmarkStart w:id="243" w:name="_Toc16582"/>
      <w:bookmarkStart w:id="244" w:name="_Toc15321"/>
      <w:bookmarkStart w:id="245" w:name="_Toc4466"/>
      <w:bookmarkStart w:id="246" w:name="_Toc17873"/>
      <w:r>
        <w:rPr>
          <w:rFonts w:hint="eastAsia" w:ascii="仿宋" w:hAnsi="仿宋" w:eastAsia="仿宋" w:cs="仿宋"/>
          <w:b/>
          <w:bCs/>
          <w:color w:val="auto"/>
          <w:sz w:val="30"/>
          <w:szCs w:val="30"/>
          <w:highlight w:val="none"/>
          <w:lang w:val="en-US" w:eastAsia="zh-CN"/>
        </w:rPr>
        <w:t>格式6参加本次采购活动前三年内，在经营活动中没有重大违法记录</w:t>
      </w:r>
      <w:bookmarkEnd w:id="239"/>
      <w:bookmarkEnd w:id="240"/>
      <w:bookmarkEnd w:id="241"/>
      <w:bookmarkEnd w:id="242"/>
      <w:bookmarkEnd w:id="243"/>
      <w:bookmarkEnd w:id="244"/>
      <w:bookmarkEnd w:id="245"/>
      <w:bookmarkEnd w:id="246"/>
    </w:p>
    <w:p w14:paraId="2B90A61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4"/>
          <w:szCs w:val="24"/>
          <w:highlight w:val="none"/>
          <w:lang w:val="en-US" w:eastAsia="zh-CN"/>
        </w:rPr>
      </w:pPr>
    </w:p>
    <w:p w14:paraId="466D1319">
      <w:pPr>
        <w:keepNext w:val="0"/>
        <w:keepLines w:val="0"/>
        <w:pageBreakBefore w:val="0"/>
        <w:widowControl w:val="0"/>
        <w:suppressLineNumbers w:val="0"/>
        <w:kinsoku/>
        <w:wordWrap/>
        <w:overflowPunct/>
        <w:topLinePunct w:val="0"/>
        <w:bidi w:val="0"/>
        <w:snapToGrid/>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无</w:t>
      </w:r>
      <w:r>
        <w:rPr>
          <w:rFonts w:hint="eastAsia" w:ascii="仿宋" w:hAnsi="仿宋" w:eastAsia="仿宋" w:cs="仿宋"/>
          <w:b/>
          <w:color w:val="auto"/>
          <w:sz w:val="28"/>
          <w:szCs w:val="28"/>
          <w:highlight w:val="none"/>
          <w:lang w:val="en-US" w:eastAsia="zh-CN"/>
        </w:rPr>
        <w:t>重大违法记录</w:t>
      </w:r>
      <w:r>
        <w:rPr>
          <w:rFonts w:hint="eastAsia" w:ascii="仿宋" w:hAnsi="仿宋" w:eastAsia="仿宋" w:cs="仿宋"/>
          <w:b/>
          <w:bCs/>
          <w:color w:val="auto"/>
          <w:kern w:val="0"/>
          <w:sz w:val="28"/>
          <w:szCs w:val="28"/>
          <w:highlight w:val="none"/>
          <w:lang w:val="en-US" w:eastAsia="zh-CN" w:bidi="ar"/>
        </w:rPr>
        <w:t>承诺函</w:t>
      </w:r>
    </w:p>
    <w:p w14:paraId="198C615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7D92A9D1">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E3CEC23">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我</w:t>
      </w: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eastAsia="zh-CN"/>
        </w:rPr>
        <w:t>在参</w:t>
      </w:r>
      <w:r>
        <w:rPr>
          <w:rFonts w:hint="eastAsia" w:ascii="仿宋" w:hAnsi="仿宋" w:eastAsia="仿宋" w:cs="仿宋"/>
          <w:color w:val="auto"/>
          <w:sz w:val="24"/>
          <w:highlight w:val="none"/>
          <w:lang w:val="en-US" w:eastAsia="zh-CN"/>
        </w:rPr>
        <w:t>加本次采购活动前三年内，在经营活动中没有重大违法记录</w:t>
      </w:r>
      <w:r>
        <w:rPr>
          <w:rFonts w:hint="eastAsia" w:ascii="仿宋" w:hAnsi="仿宋" w:eastAsia="仿宋" w:cs="仿宋"/>
          <w:color w:val="auto"/>
          <w:sz w:val="24"/>
          <w:highlight w:val="none"/>
          <w:lang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5C98EB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7D38FCF4">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304F6B8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11F2FC3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C79A557">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期：</w:t>
      </w:r>
      <w:r>
        <w:rPr>
          <w:rFonts w:hint="eastAsia" w:ascii="仿宋" w:hAnsi="仿宋" w:eastAsia="仿宋" w:cs="仿宋"/>
          <w:color w:val="auto"/>
          <w:sz w:val="24"/>
          <w:szCs w:val="24"/>
          <w:highlight w:val="none"/>
        </w:rPr>
        <w:t>XXXX年XX月XX日</w:t>
      </w:r>
    </w:p>
    <w:p w14:paraId="6BCE8452">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47" w:name="_Toc32638"/>
      <w:bookmarkStart w:id="248" w:name="_Toc29937"/>
      <w:bookmarkStart w:id="249" w:name="_Toc16930"/>
      <w:bookmarkStart w:id="250" w:name="_Toc20140"/>
      <w:bookmarkStart w:id="251" w:name="_Toc14944"/>
      <w:bookmarkStart w:id="252" w:name="_Toc8371"/>
      <w:bookmarkStart w:id="253" w:name="_Toc32065"/>
      <w:bookmarkStart w:id="254" w:name="_Toc9109"/>
      <w:bookmarkStart w:id="255" w:name="_Toc26026"/>
      <w:r>
        <w:rPr>
          <w:rFonts w:hint="eastAsia" w:ascii="仿宋" w:hAnsi="仿宋" w:eastAsia="仿宋" w:cs="仿宋"/>
          <w:b/>
          <w:bCs/>
          <w:color w:val="auto"/>
          <w:sz w:val="30"/>
          <w:szCs w:val="30"/>
          <w:highlight w:val="none"/>
          <w:lang w:val="en-US" w:eastAsia="zh-CN"/>
        </w:rPr>
        <w:t>格式7承诺函</w:t>
      </w:r>
      <w:bookmarkEnd w:id="247"/>
      <w:bookmarkEnd w:id="248"/>
      <w:bookmarkEnd w:id="249"/>
      <w:bookmarkEnd w:id="250"/>
      <w:bookmarkEnd w:id="251"/>
      <w:bookmarkEnd w:id="252"/>
      <w:r>
        <w:rPr>
          <w:rFonts w:hint="eastAsia" w:ascii="仿宋" w:hAnsi="仿宋" w:eastAsia="仿宋" w:cs="仿宋"/>
          <w:b/>
          <w:bCs/>
          <w:color w:val="auto"/>
          <w:sz w:val="30"/>
          <w:szCs w:val="30"/>
          <w:highlight w:val="none"/>
          <w:lang w:val="en-US" w:eastAsia="zh-CN"/>
        </w:rPr>
        <w:t>1</w:t>
      </w:r>
      <w:bookmarkEnd w:id="253"/>
      <w:bookmarkEnd w:id="254"/>
      <w:bookmarkEnd w:id="255"/>
    </w:p>
    <w:p w14:paraId="5A0B30AD">
      <w:pPr>
        <w:pStyle w:val="61"/>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562" w:firstLineChars="20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eastAsia="zh-CN"/>
        </w:rPr>
        <w:t>承诺函</w:t>
      </w:r>
      <w:r>
        <w:rPr>
          <w:rFonts w:hint="eastAsia" w:ascii="仿宋" w:hAnsi="仿宋" w:eastAsia="仿宋" w:cs="仿宋"/>
          <w:b/>
          <w:color w:val="auto"/>
          <w:sz w:val="28"/>
          <w:szCs w:val="28"/>
          <w:highlight w:val="none"/>
          <w:lang w:val="en-US" w:eastAsia="zh-CN"/>
        </w:rPr>
        <w:t>1</w:t>
      </w:r>
    </w:p>
    <w:p w14:paraId="1588CF8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bookmarkStart w:id="256" w:name="_Toc27873"/>
      <w:bookmarkStart w:id="257" w:name="_Toc3533"/>
      <w:bookmarkStart w:id="258" w:name="_Toc8524"/>
      <w:bookmarkStart w:id="259" w:name="_Toc9954"/>
      <w:bookmarkStart w:id="260" w:name="_Toc26355"/>
      <w:bookmarkStart w:id="261" w:name="_Toc29320"/>
    </w:p>
    <w:p w14:paraId="6F0E58A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四川虹采招标代理有限责任公司：</w:t>
      </w:r>
    </w:p>
    <w:p w14:paraId="5214C7A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（投标人名称）</w:t>
      </w:r>
      <w:r>
        <w:rPr>
          <w:rFonts w:hint="eastAsia" w:ascii="仿宋" w:hAnsi="仿宋" w:eastAsia="仿宋" w:cs="仿宋"/>
          <w:color w:val="auto"/>
          <w:sz w:val="24"/>
          <w:szCs w:val="24"/>
          <w:highlight w:val="none"/>
        </w:rPr>
        <w:t>作为参加本次</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采购活动（</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，现郑重承诺：</w:t>
      </w:r>
    </w:p>
    <w:p w14:paraId="2A9361C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具备本项目规定的条件：</w:t>
      </w:r>
    </w:p>
    <w:p w14:paraId="1E40EA1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（一）具有独立承担民事责任的能力； </w:t>
      </w:r>
    </w:p>
    <w:p w14:paraId="475C653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（二）具有良好的商业信誉和健全的财务会计制度； </w:t>
      </w:r>
    </w:p>
    <w:p w14:paraId="55CBE39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（三）具有履行合同所必需的设备和专业技术能力； </w:t>
      </w:r>
    </w:p>
    <w:p w14:paraId="274ABC2D">
      <w:pPr>
        <w:keepNext w:val="0"/>
        <w:keepLines w:val="0"/>
        <w:pageBreakBefore w:val="0"/>
        <w:widowControl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（四）有依法缴纳税收和社会保障资金的良好记录； </w:t>
      </w:r>
    </w:p>
    <w:p w14:paraId="4674214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（五）参加</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活动前三年内，在经营活动中没有重大违法记录；</w:t>
      </w:r>
    </w:p>
    <w:p w14:paraId="65F16EC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（六）法律、行政法规规定的其他条件；</w:t>
      </w:r>
    </w:p>
    <w:p w14:paraId="164BE89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w:t>
      </w:r>
      <w:r>
        <w:rPr>
          <w:rFonts w:hint="eastAsia" w:ascii="仿宋" w:hAnsi="仿宋" w:eastAsia="仿宋" w:cs="仿宋"/>
          <w:color w:val="auto"/>
          <w:sz w:val="24"/>
          <w:szCs w:val="24"/>
          <w:highlight w:val="none"/>
          <w:lang w:eastAsia="zh-CN"/>
        </w:rPr>
        <w:t>本</w:t>
      </w:r>
      <w:r>
        <w:rPr>
          <w:rFonts w:hint="eastAsia" w:ascii="仿宋" w:hAnsi="仿宋" w:eastAsia="仿宋" w:cs="仿宋"/>
          <w:color w:val="auto"/>
          <w:sz w:val="24"/>
          <w:szCs w:val="24"/>
          <w:highlight w:val="none"/>
        </w:rPr>
        <w:t>项目提出的特殊条件。</w:t>
      </w:r>
    </w:p>
    <w:p w14:paraId="3DA433C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p>
    <w:p w14:paraId="097EB19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本公司对上述承诺的内容事项真实性负责。如经查实上述承诺的内容事项存在虚假，我公司愿意接受以提供虚假材料谋取</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追究法律责任。</w:t>
      </w:r>
    </w:p>
    <w:p w14:paraId="165F36D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p>
    <w:p w14:paraId="0AC4D1D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bookmarkStart w:id="262" w:name="_Toc12291"/>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36C0320">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sectPr>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color w:val="auto"/>
          <w:sz w:val="24"/>
          <w:szCs w:val="24"/>
          <w:highlight w:val="none"/>
        </w:rPr>
        <w:t>日期：XXX年XXX</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XXX日</w:t>
      </w:r>
    </w:p>
    <w:p w14:paraId="3C55FD2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63" w:name="_Toc29271"/>
      <w:bookmarkStart w:id="264" w:name="_Toc18465"/>
      <w:r>
        <w:rPr>
          <w:rFonts w:hint="eastAsia" w:ascii="仿宋" w:hAnsi="仿宋" w:eastAsia="仿宋" w:cs="仿宋"/>
          <w:b/>
          <w:bCs/>
          <w:color w:val="auto"/>
          <w:sz w:val="30"/>
          <w:szCs w:val="30"/>
          <w:highlight w:val="none"/>
          <w:lang w:val="en-US" w:eastAsia="zh-CN"/>
        </w:rPr>
        <w:t>格式8参加本项目投标人应提供的资质性证明材料</w:t>
      </w:r>
      <w:bookmarkEnd w:id="256"/>
      <w:bookmarkEnd w:id="257"/>
      <w:bookmarkEnd w:id="258"/>
      <w:bookmarkEnd w:id="259"/>
      <w:bookmarkEnd w:id="260"/>
      <w:bookmarkEnd w:id="261"/>
      <w:bookmarkEnd w:id="262"/>
      <w:bookmarkEnd w:id="263"/>
      <w:bookmarkEnd w:id="264"/>
    </w:p>
    <w:p w14:paraId="4CA2628C">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8"/>
          <w:szCs w:val="28"/>
          <w:highlight w:val="none"/>
          <w:lang w:val="en-US" w:eastAsia="zh-CN"/>
        </w:rPr>
      </w:pPr>
    </w:p>
    <w:p w14:paraId="2174879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center"/>
        <w:textAlignment w:val="auto"/>
        <w:outlineLvl w:val="9"/>
        <w:rPr>
          <w:rFonts w:hint="eastAsia" w:ascii="仿宋" w:hAnsi="仿宋" w:eastAsia="仿宋" w:cs="仿宋"/>
          <w:color w:val="auto"/>
          <w:sz w:val="24"/>
          <w:szCs w:val="24"/>
          <w:highlight w:val="none"/>
          <w:lang w:val="en-US" w:eastAsia="zh-CN"/>
        </w:rPr>
      </w:pPr>
      <w:bookmarkStart w:id="265" w:name="_Toc16287"/>
      <w:r>
        <w:rPr>
          <w:rFonts w:hint="eastAsia" w:ascii="仿宋" w:hAnsi="仿宋" w:eastAsia="仿宋" w:cs="仿宋"/>
          <w:b/>
          <w:color w:val="auto"/>
          <w:sz w:val="24"/>
          <w:szCs w:val="24"/>
          <w:highlight w:val="none"/>
          <w:lang w:val="en-US" w:eastAsia="zh-CN"/>
        </w:rPr>
        <w:t>根据第五章要求提供</w:t>
      </w:r>
    </w:p>
    <w:p w14:paraId="7660FB3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8"/>
          <w:szCs w:val="28"/>
          <w:highlight w:val="none"/>
          <w:lang w:val="en-US" w:eastAsia="zh-CN"/>
        </w:rPr>
        <w:br w:type="page"/>
      </w:r>
      <w:bookmarkStart w:id="266" w:name="_Toc864"/>
      <w:bookmarkStart w:id="267" w:name="_Toc9450"/>
      <w:bookmarkStart w:id="268" w:name="_Toc32376"/>
      <w:bookmarkStart w:id="269" w:name="_Toc21454"/>
      <w:bookmarkStart w:id="270" w:name="_Toc14574"/>
      <w:bookmarkStart w:id="271" w:name="_Toc20937"/>
      <w:bookmarkStart w:id="272" w:name="_Toc2700"/>
      <w:bookmarkStart w:id="273" w:name="_Toc1834"/>
      <w:r>
        <w:rPr>
          <w:rFonts w:hint="eastAsia" w:ascii="仿宋" w:hAnsi="仿宋" w:eastAsia="仿宋" w:cs="仿宋"/>
          <w:b/>
          <w:bCs/>
          <w:color w:val="auto"/>
          <w:sz w:val="30"/>
          <w:szCs w:val="30"/>
          <w:highlight w:val="none"/>
          <w:lang w:val="en-US" w:eastAsia="zh-CN"/>
        </w:rPr>
        <w:t>格式</w:t>
      </w:r>
      <w:bookmarkEnd w:id="265"/>
      <w:bookmarkEnd w:id="266"/>
      <w:bookmarkEnd w:id="267"/>
      <w:bookmarkEnd w:id="268"/>
      <w:bookmarkEnd w:id="269"/>
      <w:bookmarkEnd w:id="270"/>
      <w:bookmarkEnd w:id="271"/>
      <w:r>
        <w:rPr>
          <w:rFonts w:hint="eastAsia" w:ascii="仿宋" w:hAnsi="仿宋" w:eastAsia="仿宋" w:cs="仿宋"/>
          <w:b/>
          <w:bCs/>
          <w:color w:val="auto"/>
          <w:sz w:val="30"/>
          <w:szCs w:val="30"/>
          <w:highlight w:val="none"/>
          <w:lang w:val="en-US" w:eastAsia="zh-CN"/>
        </w:rPr>
        <w:t>9参加本次投标活动的投标人代表</w:t>
      </w:r>
      <w:bookmarkEnd w:id="272"/>
      <w:bookmarkEnd w:id="273"/>
    </w:p>
    <w:p w14:paraId="5F4FE3E3">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_GB2312" w:hAnsi="仿宋_GB2312" w:eastAsia="仿宋_GB2312" w:cs="仿宋_GB2312"/>
          <w:color w:val="auto"/>
          <w:sz w:val="24"/>
          <w:highlight w:val="none"/>
          <w:lang w:val="en-US" w:eastAsia="zh-CN"/>
        </w:rPr>
      </w:pPr>
    </w:p>
    <w:p w14:paraId="00A27DC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2" w:firstLineChars="200"/>
        <w:jc w:val="center"/>
        <w:textAlignment w:val="auto"/>
        <w:outlineLvl w:val="9"/>
        <w:rPr>
          <w:rFonts w:hint="eastAsia" w:ascii="仿宋" w:hAnsi="仿宋" w:eastAsia="仿宋" w:cs="仿宋"/>
          <w:b/>
          <w:bCs/>
          <w:color w:val="auto"/>
          <w:sz w:val="28"/>
          <w:szCs w:val="28"/>
          <w:highlight w:val="none"/>
          <w:lang w:val="en-US" w:eastAsia="zh-CN"/>
        </w:rPr>
      </w:pPr>
      <w:bookmarkStart w:id="274" w:name="_Toc24730"/>
      <w:r>
        <w:rPr>
          <w:rFonts w:hint="eastAsia" w:ascii="仿宋" w:hAnsi="仿宋" w:eastAsia="仿宋" w:cs="仿宋"/>
          <w:b/>
          <w:bCs/>
          <w:color w:val="auto"/>
          <w:sz w:val="28"/>
          <w:szCs w:val="28"/>
          <w:highlight w:val="none"/>
          <w:lang w:val="en-US" w:eastAsia="zh-CN"/>
        </w:rPr>
        <w:t>法定代表人/负责人身份证明</w:t>
      </w:r>
    </w:p>
    <w:p w14:paraId="4AD54ED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lang w:val="en-US" w:eastAsia="zh-CN"/>
        </w:rPr>
        <w:t>（若投标人代表为“法定代表人/单位负责人”时提供此页）</w:t>
      </w:r>
    </w:p>
    <w:p w14:paraId="4A5FF9E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55A0F8A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6A8A1675">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720" w:firstLineChars="3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（姓名）</w:t>
      </w:r>
      <w:r>
        <w:rPr>
          <w:rFonts w:hint="eastAsia" w:ascii="仿宋" w:hAnsi="仿宋" w:eastAsia="仿宋" w:cs="仿宋"/>
          <w:b w:val="0"/>
          <w:bCs w:val="0"/>
          <w:color w:val="auto"/>
          <w:sz w:val="24"/>
          <w:szCs w:val="24"/>
          <w:highlight w:val="none"/>
          <w:lang w:val="en-US" w:eastAsia="zh-CN"/>
        </w:rPr>
        <w:t>系</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（投标人名称）</w:t>
      </w:r>
      <w:r>
        <w:rPr>
          <w:rFonts w:hint="eastAsia" w:ascii="仿宋" w:hAnsi="仿宋" w:eastAsia="仿宋" w:cs="仿宋"/>
          <w:b w:val="0"/>
          <w:bCs w:val="0"/>
          <w:color w:val="auto"/>
          <w:sz w:val="24"/>
          <w:szCs w:val="24"/>
          <w:highlight w:val="none"/>
          <w:lang w:val="en-US" w:eastAsia="zh-CN"/>
        </w:rPr>
        <w:t>的法定代表人/单位负责人（职务</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电话</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w:t>
      </w:r>
    </w:p>
    <w:p w14:paraId="4E0C42D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特此证明。</w:t>
      </w:r>
    </w:p>
    <w:p w14:paraId="72E924B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0DE7813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360" w:firstLineChars="200"/>
        <w:jc w:val="left"/>
        <w:textAlignment w:val="auto"/>
        <w:outlineLvl w:val="9"/>
        <w:rPr>
          <w:rFonts w:hint="eastAsia"/>
          <w:color w:val="auto"/>
          <w:lang w:val="en-US" w:eastAsia="zh-CN"/>
        </w:rPr>
      </w:pPr>
    </w:p>
    <w:p w14:paraId="2CD31348">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投标人名称（加盖公章）：</w:t>
      </w:r>
    </w:p>
    <w:p w14:paraId="702E441D">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法定代表人/单位负责人（签字）：</w:t>
      </w:r>
    </w:p>
    <w:p w14:paraId="1472787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日期：XXXX年XX月XX日</w:t>
      </w:r>
    </w:p>
    <w:p w14:paraId="33BB9F6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74CBF31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b/>
          <w:bCs/>
          <w:color w:val="auto"/>
        </w:rPr>
      </w:pPr>
      <w:r>
        <w:rPr>
          <w:rFonts w:hint="eastAsia" w:ascii="仿宋" w:hAnsi="仿宋" w:eastAsia="仿宋" w:cs="仿宋"/>
          <w:b/>
          <w:bCs/>
          <w:color w:val="auto"/>
          <w:sz w:val="24"/>
          <w:szCs w:val="24"/>
          <w:highlight w:val="none"/>
          <w:u w:val="none"/>
          <w:lang w:val="en-US" w:eastAsia="zh-CN"/>
        </w:rPr>
        <w:t>附：</w:t>
      </w:r>
      <w:r>
        <w:rPr>
          <w:rFonts w:hint="eastAsia" w:ascii="仿宋" w:hAnsi="仿宋" w:eastAsia="仿宋" w:cs="仿宋"/>
          <w:b/>
          <w:bCs/>
          <w:color w:val="auto"/>
          <w:sz w:val="24"/>
          <w:szCs w:val="24"/>
          <w:highlight w:val="none"/>
          <w:lang w:val="en-US" w:eastAsia="zh-CN"/>
        </w:rPr>
        <w:t>法定代表人/单位负责人身份证明材料复印件</w:t>
      </w:r>
    </w:p>
    <w:p w14:paraId="5D02CD0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14:paraId="7F20123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注：</w:t>
      </w:r>
    </w:p>
    <w:p w14:paraId="6206E1CD">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投标人为自然人时提供“自然人身份证明材料”。</w:t>
      </w:r>
    </w:p>
    <w:p w14:paraId="06398E53">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提供其有效的证明材料，若提供居民身份证，须为正、反面复印件。</w:t>
      </w:r>
    </w:p>
    <w:p w14:paraId="211B9A29">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身份证明材料包括居民身份证或户口本或军官证或护照等。</w:t>
      </w:r>
    </w:p>
    <w:p w14:paraId="2FDBC114">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697016A5">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0222CD7A">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color w:val="auto"/>
          <w:sz w:val="24"/>
          <w:szCs w:val="24"/>
          <w:highlight w:val="none"/>
          <w:lang w:val="en-US" w:eastAsia="zh-CN"/>
        </w:rPr>
      </w:pPr>
    </w:p>
    <w:p w14:paraId="2264D5ED">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r>
        <w:rPr>
          <w:rFonts w:hint="eastAsia" w:ascii="仿宋" w:hAnsi="仿宋" w:eastAsia="仿宋" w:cs="仿宋"/>
          <w:b/>
          <w:color w:val="auto"/>
          <w:sz w:val="28"/>
          <w:szCs w:val="28"/>
          <w:highlight w:val="none"/>
          <w:lang w:val="en-US" w:eastAsia="zh-CN"/>
        </w:rPr>
        <w:t>法定代表人/单位负责人授权委托书</w:t>
      </w:r>
    </w:p>
    <w:p w14:paraId="6CC36EB6">
      <w:pPr>
        <w:pStyle w:val="61"/>
        <w:pageBreakBefore w:val="0"/>
        <w:widowControl w:val="0"/>
        <w:kinsoku/>
        <w:wordWrap/>
        <w:overflowPunct/>
        <w:topLinePunct w:val="0"/>
        <w:bidi w:val="0"/>
        <w:snapToGrid/>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kern w:val="2"/>
          <w:sz w:val="24"/>
          <w:szCs w:val="24"/>
          <w:highlight w:val="none"/>
          <w:lang w:val="en-US" w:eastAsia="zh-CN" w:bidi="ar-SA"/>
        </w:rPr>
        <w:t>（若投标人代表为“授权代表”时提供此页）</w:t>
      </w:r>
    </w:p>
    <w:p w14:paraId="057A18DC">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6CFA0588">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四川虹采招标代理有限责任公司</w:t>
      </w:r>
      <w:r>
        <w:rPr>
          <w:rFonts w:hint="eastAsia" w:ascii="仿宋" w:hAnsi="仿宋" w:eastAsia="仿宋" w:cs="仿宋"/>
          <w:color w:val="auto"/>
          <w:sz w:val="24"/>
          <w:highlight w:val="none"/>
          <w:u w:val="single"/>
        </w:rPr>
        <w:t xml:space="preserve"> </w:t>
      </w:r>
    </w:p>
    <w:p w14:paraId="07060C2F">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__________________（投标人全称）法定代表人</w:t>
      </w:r>
      <w:r>
        <w:rPr>
          <w:rFonts w:hint="eastAsia" w:ascii="仿宋" w:hAnsi="仿宋" w:eastAsia="仿宋" w:cs="仿宋"/>
          <w:color w:val="auto"/>
          <w:sz w:val="24"/>
          <w:highlight w:val="none"/>
          <w:lang w:val="en-US" w:eastAsia="zh-CN"/>
        </w:rPr>
        <w:t>/单位负责人</w:t>
      </w:r>
      <w:r>
        <w:rPr>
          <w:rFonts w:hint="eastAsia" w:ascii="仿宋" w:hAnsi="仿宋" w:eastAsia="仿宋" w:cs="仿宋"/>
          <w:color w:val="auto"/>
          <w:sz w:val="24"/>
          <w:highlight w:val="none"/>
        </w:rPr>
        <w:t>____________ 授权委托_____________为我的代理人，参加贵单位组织的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招标名称</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招标编号</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highlight w:val="none"/>
        </w:rPr>
        <w:t>的投标。代理人在本次招标中所签署的一切文件和处理的一切有关事宜，我公司</w:t>
      </w:r>
      <w:r>
        <w:rPr>
          <w:rFonts w:hint="eastAsia" w:ascii="仿宋" w:hAnsi="仿宋" w:eastAsia="仿宋" w:cs="仿宋"/>
          <w:color w:val="auto"/>
          <w:sz w:val="24"/>
          <w:highlight w:val="none"/>
          <w:lang w:val="en-US" w:eastAsia="zh-CN"/>
        </w:rPr>
        <w:t>/我单位</w:t>
      </w:r>
      <w:r>
        <w:rPr>
          <w:rFonts w:hint="eastAsia" w:ascii="仿宋" w:hAnsi="仿宋" w:eastAsia="仿宋" w:cs="仿宋"/>
          <w:color w:val="auto"/>
          <w:sz w:val="24"/>
          <w:highlight w:val="none"/>
        </w:rPr>
        <w:t>均予承认，所产生的法律后果均由我</w:t>
      </w:r>
      <w:r>
        <w:rPr>
          <w:rFonts w:hint="eastAsia" w:ascii="仿宋" w:hAnsi="仿宋" w:eastAsia="仿宋" w:cs="仿宋"/>
          <w:color w:val="auto"/>
          <w:sz w:val="24"/>
          <w:highlight w:val="none"/>
          <w:lang w:eastAsia="zh-CN"/>
        </w:rPr>
        <w:t>公司</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单位承担。</w:t>
      </w:r>
    </w:p>
    <w:p w14:paraId="2A51AECC">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0E36FA1D">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特此声明。</w:t>
      </w:r>
    </w:p>
    <w:p w14:paraId="72077711">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6E30DF11">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76056AA1">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7940CD4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法定代表人/单位负责人（签字）：</w:t>
      </w:r>
    </w:p>
    <w:p w14:paraId="540C6F8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授权代表（签字）：</w:t>
      </w:r>
    </w:p>
    <w:p w14:paraId="0292ED9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0F695B0">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5CDF2E6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6EDB805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rPr>
      </w:pPr>
      <w:r>
        <w:rPr>
          <w:rFonts w:hint="eastAsia" w:ascii="仿宋" w:hAnsi="仿宋" w:eastAsia="仿宋" w:cs="仿宋"/>
          <w:b/>
          <w:bCs w:val="0"/>
          <w:color w:val="auto"/>
          <w:sz w:val="24"/>
          <w:highlight w:val="none"/>
          <w:lang w:val="zh-CN"/>
        </w:rPr>
        <w:t>附：</w:t>
      </w:r>
      <w:r>
        <w:rPr>
          <w:rFonts w:hint="eastAsia" w:ascii="仿宋" w:hAnsi="仿宋" w:eastAsia="仿宋" w:cs="仿宋"/>
          <w:b/>
          <w:bCs w:val="0"/>
          <w:color w:val="auto"/>
          <w:sz w:val="24"/>
          <w:highlight w:val="none"/>
          <w:lang w:val="en-US" w:eastAsia="zh-CN"/>
        </w:rPr>
        <w:t>1、</w:t>
      </w:r>
      <w:r>
        <w:rPr>
          <w:rFonts w:hint="eastAsia" w:ascii="仿宋" w:hAnsi="仿宋" w:eastAsia="仿宋" w:cs="仿宋"/>
          <w:b/>
          <w:bCs w:val="0"/>
          <w:color w:val="auto"/>
          <w:sz w:val="24"/>
          <w:highlight w:val="none"/>
          <w:lang w:val="zh-CN"/>
        </w:rPr>
        <w:t>代理人身份证明材料复印件（加盖公章）</w:t>
      </w:r>
    </w:p>
    <w:p w14:paraId="122313B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 xml:space="preserve">    2、法定代表人/单位负责人身份证明材料复印件</w:t>
      </w:r>
      <w:r>
        <w:rPr>
          <w:rFonts w:hint="eastAsia" w:ascii="仿宋" w:hAnsi="仿宋" w:eastAsia="仿宋" w:cs="仿宋"/>
          <w:b/>
          <w:bCs w:val="0"/>
          <w:color w:val="auto"/>
          <w:sz w:val="24"/>
          <w:highlight w:val="none"/>
          <w:lang w:val="zh-CN"/>
        </w:rPr>
        <w:t>（加盖公章）</w:t>
      </w:r>
    </w:p>
    <w:p w14:paraId="10C53E4D">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7C640C40">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07D6C88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eastAsia="zh-CN"/>
        </w:rPr>
      </w:pPr>
      <w:r>
        <w:rPr>
          <w:rFonts w:hint="eastAsia" w:ascii="仿宋" w:hAnsi="仿宋" w:eastAsia="仿宋" w:cs="仿宋"/>
          <w:b/>
          <w:bCs w:val="0"/>
          <w:color w:val="auto"/>
          <w:sz w:val="24"/>
          <w:highlight w:val="none"/>
          <w:lang w:val="zh-CN" w:eastAsia="zh-CN"/>
        </w:rPr>
        <w:t>注：</w:t>
      </w:r>
    </w:p>
    <w:p w14:paraId="5F16FA9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1、提供其有效的证明材料，若提供居民身份证，须为正、反面复印件。</w:t>
      </w:r>
    </w:p>
    <w:p w14:paraId="61F5DAD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2、身份证明材料包括居民身份证或户口本或军官证或护照等。</w:t>
      </w:r>
    </w:p>
    <w:p w14:paraId="24511A7B">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lang w:val="en-US" w:eastAsia="zh-CN"/>
        </w:rPr>
      </w:pPr>
    </w:p>
    <w:p w14:paraId="186DFEF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1200" w:firstLineChars="50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34271637">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30"/>
          <w:szCs w:val="30"/>
          <w:highlight w:val="yellow"/>
        </w:rPr>
      </w:pPr>
      <w:bookmarkStart w:id="275" w:name="_Toc18130"/>
      <w:bookmarkStart w:id="276" w:name="_Toc16074"/>
      <w:bookmarkStart w:id="277" w:name="_Toc16155"/>
      <w:bookmarkStart w:id="278" w:name="_Toc12650"/>
      <w:bookmarkStart w:id="279" w:name="_Toc6097"/>
      <w:bookmarkStart w:id="280" w:name="_Toc2769"/>
      <w:bookmarkStart w:id="281" w:name="_Toc10615"/>
      <w:bookmarkStart w:id="282" w:name="_Toc12873"/>
      <w:bookmarkStart w:id="283" w:name="_Toc10992"/>
      <w:bookmarkStart w:id="284" w:name="_Toc25951"/>
      <w:r>
        <w:rPr>
          <w:rFonts w:hint="eastAsia" w:ascii="仿宋" w:hAnsi="仿宋" w:eastAsia="仿宋" w:cs="仿宋"/>
          <w:b/>
          <w:bCs/>
          <w:color w:val="auto"/>
          <w:sz w:val="30"/>
          <w:szCs w:val="30"/>
          <w:highlight w:val="none"/>
          <w:lang w:eastAsia="zh-CN"/>
        </w:rPr>
        <w:br w:type="page"/>
      </w:r>
      <w:bookmarkEnd w:id="275"/>
      <w:bookmarkStart w:id="285" w:name="_Toc29036"/>
      <w:bookmarkStart w:id="286" w:name="_Toc16463"/>
      <w:bookmarkStart w:id="287" w:name="_Toc8767"/>
      <w:bookmarkStart w:id="288" w:name="_Toc22208"/>
      <w:bookmarkStart w:id="289" w:name="_Toc11750"/>
      <w:bookmarkStart w:id="290" w:name="_Toc7966"/>
      <w:bookmarkStart w:id="291" w:name="_Toc26153"/>
      <w:bookmarkStart w:id="292" w:name="_Toc27967"/>
      <w:bookmarkStart w:id="293" w:name="_Toc25399"/>
      <w:bookmarkStart w:id="294" w:name="_Toc23825"/>
      <w:bookmarkStart w:id="295" w:name="_Toc20849"/>
      <w:r>
        <w:rPr>
          <w:rFonts w:hint="eastAsia" w:ascii="仿宋" w:hAnsi="仿宋" w:eastAsia="仿宋" w:cs="仿宋"/>
          <w:b/>
          <w:color w:val="auto"/>
          <w:sz w:val="30"/>
          <w:szCs w:val="30"/>
          <w:highlight w:val="none"/>
          <w:lang w:eastAsia="zh-CN"/>
        </w:rPr>
        <w:t>格式</w:t>
      </w:r>
      <w:bookmarkEnd w:id="285"/>
      <w:bookmarkEnd w:id="286"/>
      <w:r>
        <w:rPr>
          <w:rFonts w:hint="eastAsia" w:ascii="仿宋" w:hAnsi="仿宋" w:eastAsia="仿宋" w:cs="仿宋"/>
          <w:b/>
          <w:color w:val="auto"/>
          <w:sz w:val="30"/>
          <w:szCs w:val="30"/>
          <w:highlight w:val="none"/>
          <w:lang w:val="en-US" w:eastAsia="zh-CN"/>
        </w:rPr>
        <w:t>10</w:t>
      </w:r>
      <w:r>
        <w:rPr>
          <w:rFonts w:hint="eastAsia" w:ascii="仿宋" w:hAnsi="仿宋" w:eastAsia="仿宋" w:cs="仿宋"/>
          <w:b/>
          <w:color w:val="auto"/>
          <w:sz w:val="30"/>
          <w:szCs w:val="30"/>
          <w:highlight w:val="none"/>
          <w:lang w:eastAsia="zh-CN"/>
        </w:rPr>
        <w:t>开标一览表</w:t>
      </w:r>
      <w:bookmarkEnd w:id="287"/>
      <w:bookmarkEnd w:id="288"/>
      <w:bookmarkEnd w:id="289"/>
      <w:bookmarkEnd w:id="290"/>
      <w:bookmarkEnd w:id="291"/>
      <w:bookmarkEnd w:id="292"/>
      <w:bookmarkEnd w:id="293"/>
      <w:bookmarkEnd w:id="294"/>
      <w:bookmarkEnd w:id="295"/>
    </w:p>
    <w:p w14:paraId="7247D926">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b/>
          <w:color w:val="auto"/>
          <w:sz w:val="32"/>
          <w:szCs w:val="32"/>
        </w:rPr>
        <w:t>开标一览表</w:t>
      </w:r>
    </w:p>
    <w:p w14:paraId="21A99DC5">
      <w:pPr>
        <w:pStyle w:val="7"/>
        <w:keepNext w:val="0"/>
        <w:keepLines w:val="0"/>
        <w:pageBreakBefore w:val="0"/>
        <w:widowControl w:val="0"/>
        <w:tabs>
          <w:tab w:val="left" w:pos="702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rPr>
        <w:t>招标名称</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sz w:val="24"/>
          <w:szCs w:val="24"/>
          <w:highlight w:val="none"/>
        </w:rPr>
        <w:tab/>
      </w:r>
    </w:p>
    <w:p w14:paraId="16C554EC">
      <w:pPr>
        <w:pStyle w:val="7"/>
        <w:keepNext w:val="0"/>
        <w:keepLines w:val="0"/>
        <w:pageBreakBefore w:val="0"/>
        <w:widowControl w:val="0"/>
        <w:tabs>
          <w:tab w:val="left" w:pos="756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招标编号</w:t>
      </w:r>
      <w:r>
        <w:rPr>
          <w:rFonts w:hint="eastAsia" w:ascii="仿宋_GB2312" w:hAnsi="仿宋_GB2312" w:eastAsia="仿宋_GB2312" w:cs="仿宋_GB2312"/>
          <w:color w:val="auto"/>
          <w:kern w:val="0"/>
          <w:sz w:val="24"/>
          <w:szCs w:val="24"/>
          <w:highlight w:val="none"/>
        </w:rPr>
        <w:t>：</w:t>
      </w:r>
    </w:p>
    <w:p w14:paraId="4EA3383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招标包号：</w:t>
      </w:r>
    </w:p>
    <w:tbl>
      <w:tblPr>
        <w:tblStyle w:val="33"/>
        <w:tblW w:w="9894"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2"/>
        <w:gridCol w:w="1005"/>
        <w:gridCol w:w="882"/>
        <w:gridCol w:w="1237"/>
        <w:gridCol w:w="750"/>
        <w:gridCol w:w="806"/>
        <w:gridCol w:w="1275"/>
        <w:gridCol w:w="1982"/>
      </w:tblGrid>
      <w:tr w14:paraId="5A6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1545D7D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序号</w:t>
            </w:r>
          </w:p>
        </w:tc>
        <w:tc>
          <w:tcPr>
            <w:tcW w:w="1232" w:type="dxa"/>
            <w:noWrap w:val="0"/>
            <w:vAlign w:val="center"/>
          </w:tcPr>
          <w:p w14:paraId="7944F2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产品名称</w:t>
            </w:r>
          </w:p>
        </w:tc>
        <w:tc>
          <w:tcPr>
            <w:tcW w:w="1005" w:type="dxa"/>
            <w:noWrap w:val="0"/>
            <w:vAlign w:val="center"/>
          </w:tcPr>
          <w:p w14:paraId="498D73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制造商</w:t>
            </w:r>
          </w:p>
        </w:tc>
        <w:tc>
          <w:tcPr>
            <w:tcW w:w="882" w:type="dxa"/>
            <w:noWrap w:val="0"/>
            <w:vAlign w:val="center"/>
          </w:tcPr>
          <w:p w14:paraId="18907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品牌</w:t>
            </w:r>
          </w:p>
        </w:tc>
        <w:tc>
          <w:tcPr>
            <w:tcW w:w="1237" w:type="dxa"/>
            <w:noWrap w:val="0"/>
            <w:vAlign w:val="center"/>
          </w:tcPr>
          <w:p w14:paraId="2D55454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规格型号</w:t>
            </w:r>
          </w:p>
        </w:tc>
        <w:tc>
          <w:tcPr>
            <w:tcW w:w="750" w:type="dxa"/>
            <w:noWrap w:val="0"/>
            <w:vAlign w:val="center"/>
          </w:tcPr>
          <w:p w14:paraId="4F581E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预估</w:t>
            </w:r>
            <w:r>
              <w:rPr>
                <w:rFonts w:hint="eastAsia" w:ascii="仿宋_GB2312" w:hAnsi="仿宋_GB2312" w:eastAsia="仿宋_GB2312" w:cs="仿宋_GB2312"/>
                <w:color w:val="auto"/>
                <w:sz w:val="24"/>
                <w:szCs w:val="24"/>
                <w:highlight w:val="none"/>
                <w:lang w:eastAsia="zh-CN"/>
              </w:rPr>
              <w:t>数量</w:t>
            </w:r>
          </w:p>
        </w:tc>
        <w:tc>
          <w:tcPr>
            <w:tcW w:w="806" w:type="dxa"/>
            <w:noWrap w:val="0"/>
            <w:vAlign w:val="center"/>
          </w:tcPr>
          <w:p w14:paraId="00B58D3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单位</w:t>
            </w:r>
          </w:p>
        </w:tc>
        <w:tc>
          <w:tcPr>
            <w:tcW w:w="1275" w:type="dxa"/>
            <w:noWrap w:val="0"/>
            <w:vAlign w:val="center"/>
          </w:tcPr>
          <w:p w14:paraId="4874CB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单价（元）</w:t>
            </w:r>
          </w:p>
        </w:tc>
        <w:tc>
          <w:tcPr>
            <w:tcW w:w="1982" w:type="dxa"/>
            <w:noWrap w:val="0"/>
            <w:vAlign w:val="center"/>
          </w:tcPr>
          <w:p w14:paraId="774DFAA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总价（元）</w:t>
            </w:r>
          </w:p>
        </w:tc>
      </w:tr>
      <w:tr w14:paraId="49D0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E1AD1B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0EA1FDD">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BC92CF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777638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0E4824FF">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725CE26">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787AED9B">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243A080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3514517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0910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065AE87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B0AD79F">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63D58692">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7227DC4B">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78015502">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662DE3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5A6263BD">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50313A1C">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5D397307">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48DA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2627B78">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41F2E5A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8C8039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C92E75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42F2443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007EFE9C">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4CAC824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6B44806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42490EBA">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2F0A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894" w:type="dxa"/>
            <w:gridSpan w:val="9"/>
            <w:noWrap w:val="0"/>
            <w:vAlign w:val="top"/>
          </w:tcPr>
          <w:p w14:paraId="5563C414">
            <w:pPr>
              <w:keepNext w:val="0"/>
              <w:keepLines w:val="0"/>
              <w:pageBreakBefore w:val="0"/>
              <w:widowControl w:val="0"/>
              <w:kinsoku/>
              <w:wordWrap/>
              <w:overflowPunct/>
              <w:topLinePunct w:val="0"/>
              <w:autoSpaceDE/>
              <w:autoSpaceDN/>
              <w:bidi w:val="0"/>
              <w:adjustRightInd/>
              <w:snapToGrid/>
              <w:spacing w:after="0" w:line="360" w:lineRule="auto"/>
              <w:ind w:left="355" w:leftChars="0" w:hanging="355" w:hangingChars="148"/>
              <w:jc w:val="both"/>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lang w:eastAsia="zh-CN"/>
              </w:rPr>
              <w:t>投标</w:t>
            </w:r>
            <w:r>
              <w:rPr>
                <w:rFonts w:hint="eastAsia" w:ascii="仿宋_GB2312" w:hAnsi="仿宋_GB2312" w:eastAsia="仿宋_GB2312" w:cs="仿宋_GB2312"/>
                <w:color w:val="auto"/>
                <w:sz w:val="24"/>
                <w:szCs w:val="24"/>
                <w:highlight w:val="none"/>
              </w:rPr>
              <w:t>报价金额合计（元）</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14:paraId="2249DD5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万</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角</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分 ）</w:t>
            </w:r>
          </w:p>
        </w:tc>
      </w:tr>
    </w:tbl>
    <w:p w14:paraId="6DF54A3F">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w:t>
      </w:r>
    </w:p>
    <w:p w14:paraId="76CF1AF5">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所有报价均用人民币表示，所报价格是交货地的验收价格，其总价即为履行合同的固定价格。运输、安装、调试、检验、培训、税金和保险等费用以及招标文件规定的其他费用均应包含在报价中；应完整填写产品的品牌和型号。</w:t>
      </w:r>
    </w:p>
    <w:p w14:paraId="05B431FE">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2、投标人应详细报出投标总价的各个组成部分的报价内容。</w:t>
      </w:r>
    </w:p>
    <w:p w14:paraId="18E6ACD1">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3、本表内任何有选择或可调整的报价将按无效投标处理,开标一览表内填写的投标报价将作为本次采购唯一的报价依据。</w:t>
      </w:r>
    </w:p>
    <w:p w14:paraId="4B64FC31">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4、用于现场开标唱标的开标一览表作为报价文件单独封装。</w:t>
      </w:r>
    </w:p>
    <w:p w14:paraId="7CAFBE32">
      <w:pPr>
        <w:pStyle w:val="12"/>
        <w:rPr>
          <w:rFonts w:hint="eastAsia" w:ascii="仿宋_GB2312" w:hAnsi="仿宋_GB2312" w:eastAsia="仿宋_GB2312" w:cs="仿宋_GB2312"/>
          <w:b/>
          <w:bCs/>
          <w:color w:val="auto"/>
          <w:kern w:val="0"/>
          <w:sz w:val="24"/>
          <w:szCs w:val="24"/>
          <w:highlight w:val="none"/>
          <w:lang w:val="en-US" w:eastAsia="zh-CN" w:bidi="ar-SA"/>
        </w:rPr>
      </w:pPr>
    </w:p>
    <w:bookmarkEnd w:id="197"/>
    <w:bookmarkEnd w:id="198"/>
    <w:bookmarkEnd w:id="274"/>
    <w:bookmarkEnd w:id="276"/>
    <w:bookmarkEnd w:id="277"/>
    <w:bookmarkEnd w:id="278"/>
    <w:bookmarkEnd w:id="279"/>
    <w:bookmarkEnd w:id="280"/>
    <w:bookmarkEnd w:id="281"/>
    <w:bookmarkEnd w:id="282"/>
    <w:bookmarkEnd w:id="283"/>
    <w:bookmarkEnd w:id="284"/>
    <w:p w14:paraId="4929CE28">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bookmarkStart w:id="296" w:name="_Toc21808"/>
      <w:bookmarkStart w:id="297" w:name="_Toc3800"/>
      <w:bookmarkStart w:id="298" w:name="_Toc16295"/>
      <w:bookmarkStart w:id="299" w:name="_Toc5966"/>
      <w:bookmarkStart w:id="300" w:name="_Toc4582"/>
      <w:bookmarkStart w:id="301" w:name="_Toc7304"/>
      <w:bookmarkStart w:id="302" w:name="_Toc23111"/>
      <w:bookmarkStart w:id="303" w:name="_Toc18480"/>
      <w:bookmarkStart w:id="304" w:name="_Toc15585"/>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77B1B5D3">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_GB2312" w:hAnsi="仿宋_GB2312" w:eastAsia="仿宋_GB2312" w:cs="仿宋_GB2312"/>
          <w:color w:val="auto"/>
          <w:sz w:val="24"/>
          <w:szCs w:val="24"/>
          <w:highlight w:val="none"/>
          <w:lang w:eastAsia="zh-CN"/>
        </w:rPr>
        <w:sectPr>
          <w:footerReference r:id="rId11"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296"/>
    <w:bookmarkEnd w:id="297"/>
    <w:bookmarkEnd w:id="298"/>
    <w:bookmarkEnd w:id="299"/>
    <w:bookmarkEnd w:id="300"/>
    <w:bookmarkEnd w:id="301"/>
    <w:bookmarkEnd w:id="302"/>
    <w:p w14:paraId="774C5AA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default" w:ascii="仿宋" w:hAnsi="仿宋" w:eastAsia="仿宋" w:cs="仿宋"/>
          <w:b/>
          <w:color w:val="auto"/>
          <w:sz w:val="30"/>
          <w:szCs w:val="30"/>
          <w:highlight w:val="none"/>
          <w:lang w:val="en-US"/>
        </w:rPr>
      </w:pPr>
      <w:bookmarkStart w:id="305" w:name="_Toc21569"/>
      <w:bookmarkStart w:id="306" w:name="_Toc19437"/>
      <w:bookmarkStart w:id="307" w:name="_Toc30083"/>
      <w:bookmarkStart w:id="308" w:name="_Toc21207"/>
      <w:bookmarkStart w:id="309" w:name="_Toc1278"/>
      <w:bookmarkStart w:id="310" w:name="_Toc2196"/>
      <w:bookmarkStart w:id="311" w:name="_Toc27748"/>
      <w:bookmarkStart w:id="312" w:name="_Toc16909"/>
      <w:bookmarkStart w:id="313" w:name="_Toc18109"/>
      <w:bookmarkStart w:id="314" w:name="_Toc17920"/>
      <w:bookmarkStart w:id="315" w:name="_Toc28110"/>
      <w:bookmarkStart w:id="316" w:name="_Toc20657"/>
      <w:bookmarkStart w:id="317" w:name="_Toc17952"/>
      <w:bookmarkStart w:id="318" w:name="_Toc2078"/>
      <w:r>
        <w:rPr>
          <w:rFonts w:hint="eastAsia" w:ascii="仿宋" w:hAnsi="仿宋" w:eastAsia="仿宋" w:cs="仿宋"/>
          <w:b/>
          <w:color w:val="auto"/>
          <w:sz w:val="30"/>
          <w:szCs w:val="30"/>
          <w:highlight w:val="none"/>
          <w:lang w:eastAsia="zh-CN"/>
        </w:rPr>
        <w:t>格式</w:t>
      </w:r>
      <w:bookmarkEnd w:id="305"/>
      <w:bookmarkEnd w:id="306"/>
      <w:bookmarkEnd w:id="307"/>
      <w:bookmarkEnd w:id="308"/>
      <w:r>
        <w:rPr>
          <w:rFonts w:hint="eastAsia" w:ascii="仿宋" w:hAnsi="仿宋" w:eastAsia="仿宋" w:cs="仿宋"/>
          <w:b/>
          <w:bCs/>
          <w:color w:val="auto"/>
          <w:sz w:val="30"/>
          <w:szCs w:val="30"/>
          <w:highlight w:val="none"/>
          <w:lang w:val="en-US" w:eastAsia="zh-CN"/>
        </w:rPr>
        <w:t>1</w:t>
      </w:r>
      <w:bookmarkEnd w:id="309"/>
      <w:bookmarkEnd w:id="310"/>
      <w:r>
        <w:rPr>
          <w:rFonts w:hint="eastAsia" w:ascii="仿宋" w:hAnsi="仿宋" w:eastAsia="仿宋" w:cs="仿宋"/>
          <w:b/>
          <w:bCs/>
          <w:color w:val="auto"/>
          <w:sz w:val="30"/>
          <w:szCs w:val="30"/>
          <w:highlight w:val="none"/>
          <w:lang w:val="en-US" w:eastAsia="zh-CN"/>
        </w:rPr>
        <w:t>1</w:t>
      </w:r>
      <w:r>
        <w:rPr>
          <w:rFonts w:hint="eastAsia" w:ascii="仿宋" w:hAnsi="仿宋" w:eastAsia="仿宋" w:cs="仿宋"/>
          <w:b/>
          <w:color w:val="auto"/>
          <w:sz w:val="30"/>
          <w:szCs w:val="30"/>
          <w:highlight w:val="none"/>
          <w:lang w:val="en-US" w:eastAsia="zh-CN"/>
        </w:rPr>
        <w:t>技术方案</w:t>
      </w:r>
      <w:bookmarkEnd w:id="311"/>
    </w:p>
    <w:p w14:paraId="26EB60C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p>
    <w:p w14:paraId="786150F7">
      <w:pPr>
        <w:pStyle w:val="1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lang w:eastAsia="zh-CN"/>
        </w:rPr>
      </w:pPr>
    </w:p>
    <w:p w14:paraId="497D1FC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技术方案</w:t>
      </w:r>
    </w:p>
    <w:p w14:paraId="340B7C6D">
      <w:pPr>
        <w:keepNext w:val="0"/>
        <w:keepLines w:val="0"/>
        <w:pageBreakBefore w:val="0"/>
        <w:widowControl w:val="0"/>
        <w:kinsoku/>
        <w:wordWrap/>
        <w:overflowPunct/>
        <w:topLinePunct w:val="0"/>
        <w:autoSpaceDE/>
        <w:autoSpaceDN/>
        <w:bidi w:val="0"/>
        <w:snapToGrid/>
        <w:spacing w:after="0" w:line="360" w:lineRule="auto"/>
        <w:textAlignment w:val="auto"/>
        <w:outlineLvl w:val="9"/>
        <w:rPr>
          <w:rFonts w:hint="eastAsia" w:ascii="仿宋" w:hAnsi="仿宋" w:eastAsia="仿宋" w:cs="仿宋"/>
          <w:color w:val="auto"/>
          <w:sz w:val="24"/>
          <w:szCs w:val="24"/>
          <w:highlight w:val="none"/>
          <w:lang w:eastAsia="zh-CN"/>
        </w:rPr>
      </w:pPr>
    </w:p>
    <w:p w14:paraId="734E4ABD">
      <w:pPr>
        <w:keepNext w:val="0"/>
        <w:keepLines w:val="0"/>
        <w:pageBreakBefore w:val="0"/>
        <w:widowControl w:val="0"/>
        <w:numPr>
          <w:ilvl w:val="0"/>
          <w:numId w:val="0"/>
        </w:numPr>
        <w:kinsoku/>
        <w:wordWrap/>
        <w:overflowPunct/>
        <w:topLinePunct w:val="0"/>
        <w:autoSpaceDE/>
        <w:autoSpaceDN/>
        <w:bidi w:val="0"/>
        <w:snapToGrid/>
        <w:spacing w:after="0" w:line="360" w:lineRule="auto"/>
        <w:ind w:leftChars="200" w:firstLine="240" w:firstLineChars="100"/>
        <w:textAlignment w:val="auto"/>
        <w:outlineLvl w:val="9"/>
        <w:rPr>
          <w:rFonts w:hint="eastAsia" w:eastAsia="仿宋"/>
          <w:color w:val="auto"/>
          <w:highlight w:val="none"/>
          <w:lang w:val="en-US" w:eastAsia="zh-CN"/>
        </w:rPr>
      </w:pPr>
      <w:r>
        <w:rPr>
          <w:rFonts w:hint="eastAsia" w:ascii="仿宋" w:hAnsi="仿宋" w:eastAsia="仿宋" w:cs="仿宋"/>
          <w:color w:val="auto"/>
          <w:sz w:val="24"/>
          <w:szCs w:val="24"/>
          <w:highlight w:val="none"/>
          <w:lang w:eastAsia="zh-CN"/>
        </w:rPr>
        <w:t>投标人自行拟项目技术方案格式。</w:t>
      </w:r>
    </w:p>
    <w:p w14:paraId="5F45753E">
      <w:pPr>
        <w:pStyle w:val="1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eastAsia="仿宋"/>
          <w:color w:val="auto"/>
          <w:sz w:val="24"/>
          <w:szCs w:val="32"/>
          <w:highlight w:val="yellow"/>
          <w:lang w:val="en-US" w:eastAsia="zh-CN"/>
        </w:rPr>
      </w:pPr>
    </w:p>
    <w:p w14:paraId="04E01FD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1C72A5A3">
      <w:pPr>
        <w:pStyle w:val="1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highlight w:val="none"/>
        </w:rPr>
      </w:pPr>
    </w:p>
    <w:p w14:paraId="4E20BDE3">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039C8A47">
      <w:pPr>
        <w:pStyle w:val="1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color w:val="auto"/>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0506CEEA">
      <w:pPr>
        <w:pStyle w:val="13"/>
        <w:ind w:left="0" w:leftChars="0" w:firstLine="0" w:firstLineChars="0"/>
        <w:rPr>
          <w:rFonts w:hint="eastAsia"/>
          <w:color w:val="auto"/>
        </w:rPr>
      </w:pPr>
    </w:p>
    <w:p w14:paraId="57F828E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bCs/>
          <w:color w:val="auto"/>
          <w:sz w:val="24"/>
          <w:szCs w:val="24"/>
          <w:highlight w:val="none"/>
        </w:rPr>
      </w:pPr>
      <w:r>
        <w:rPr>
          <w:rFonts w:hint="eastAsia" w:ascii="仿宋" w:hAnsi="仿宋" w:eastAsia="仿宋" w:cs="仿宋"/>
          <w:b/>
          <w:color w:val="auto"/>
          <w:sz w:val="30"/>
          <w:szCs w:val="30"/>
          <w:highlight w:val="none"/>
          <w:lang w:eastAsia="zh-CN"/>
        </w:rPr>
        <w:br w:type="page"/>
      </w:r>
      <w:bookmarkStart w:id="319" w:name="_Toc15975"/>
      <w:r>
        <w:rPr>
          <w:rFonts w:hint="eastAsia" w:ascii="仿宋" w:hAnsi="仿宋" w:eastAsia="仿宋" w:cs="仿宋"/>
          <w:b/>
          <w:bCs/>
          <w:color w:val="auto"/>
          <w:sz w:val="30"/>
          <w:szCs w:val="30"/>
          <w:highlight w:val="none"/>
          <w:lang w:eastAsia="zh-CN"/>
        </w:rPr>
        <w:t>格式</w:t>
      </w:r>
      <w:bookmarkEnd w:id="303"/>
      <w:bookmarkEnd w:id="304"/>
      <w:bookmarkEnd w:id="312"/>
      <w:bookmarkEnd w:id="313"/>
      <w:bookmarkEnd w:id="314"/>
      <w:bookmarkEnd w:id="315"/>
      <w:r>
        <w:rPr>
          <w:rFonts w:hint="eastAsia" w:ascii="仿宋" w:hAnsi="仿宋" w:eastAsia="仿宋" w:cs="仿宋"/>
          <w:b/>
          <w:bCs/>
          <w:color w:val="auto"/>
          <w:sz w:val="30"/>
          <w:szCs w:val="30"/>
          <w:highlight w:val="none"/>
          <w:lang w:val="en-US" w:eastAsia="zh-CN"/>
        </w:rPr>
        <w:t>12技术</w:t>
      </w:r>
      <w:r>
        <w:rPr>
          <w:rFonts w:hint="eastAsia" w:ascii="仿宋" w:hAnsi="仿宋" w:eastAsia="仿宋" w:cs="仿宋"/>
          <w:b/>
          <w:bCs/>
          <w:color w:val="auto"/>
          <w:sz w:val="30"/>
          <w:szCs w:val="30"/>
          <w:highlight w:val="none"/>
        </w:rPr>
        <w:t>要求应答表</w:t>
      </w:r>
      <w:bookmarkEnd w:id="316"/>
      <w:bookmarkEnd w:id="317"/>
      <w:bookmarkEnd w:id="318"/>
      <w:bookmarkEnd w:id="319"/>
    </w:p>
    <w:p w14:paraId="786A6E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b/>
          <w:bCs/>
          <w:color w:val="auto"/>
          <w:sz w:val="28"/>
          <w:szCs w:val="28"/>
          <w:highlight w:val="none"/>
          <w:lang w:eastAsia="zh-CN"/>
        </w:rPr>
      </w:pPr>
    </w:p>
    <w:p w14:paraId="0FBFFD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color w:val="auto"/>
          <w:sz w:val="36"/>
          <w:szCs w:val="36"/>
          <w:highlight w:val="none"/>
        </w:rPr>
      </w:pPr>
      <w:r>
        <w:rPr>
          <w:rFonts w:hint="eastAsia" w:ascii="仿宋" w:hAnsi="仿宋" w:eastAsia="仿宋" w:cs="仿宋"/>
          <w:b/>
          <w:bCs/>
          <w:color w:val="auto"/>
          <w:sz w:val="28"/>
          <w:szCs w:val="28"/>
          <w:highlight w:val="none"/>
          <w:lang w:eastAsia="zh-CN"/>
        </w:rPr>
        <w:t>技术要求应答表</w:t>
      </w:r>
    </w:p>
    <w:p w14:paraId="10402DC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ind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 xml:space="preserve">： </w:t>
      </w:r>
    </w:p>
    <w:p w14:paraId="3951F731">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3EF1ECCA">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5247"/>
        <w:gridCol w:w="3240"/>
      </w:tblGrid>
      <w:tr w14:paraId="6099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311" w:type="dxa"/>
            <w:noWrap w:val="0"/>
            <w:vAlign w:val="center"/>
          </w:tcPr>
          <w:p w14:paraId="7EDD31F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序号</w:t>
            </w:r>
          </w:p>
        </w:tc>
        <w:tc>
          <w:tcPr>
            <w:tcW w:w="5247" w:type="dxa"/>
            <w:noWrap w:val="0"/>
            <w:vAlign w:val="center"/>
          </w:tcPr>
          <w:p w14:paraId="2CC5B2F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2B2E49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二、三</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3240" w:type="dxa"/>
            <w:noWrap w:val="0"/>
            <w:vAlign w:val="center"/>
          </w:tcPr>
          <w:p w14:paraId="46DEECD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564D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30F4257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5247" w:type="dxa"/>
            <w:noWrap w:val="0"/>
            <w:vAlign w:val="center"/>
          </w:tcPr>
          <w:p w14:paraId="1FC1520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1686EA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4C36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088F46E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5247" w:type="dxa"/>
            <w:noWrap w:val="0"/>
            <w:vAlign w:val="center"/>
          </w:tcPr>
          <w:p w14:paraId="729093F9">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CB1A72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391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284D871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5247" w:type="dxa"/>
            <w:noWrap w:val="0"/>
            <w:vAlign w:val="center"/>
          </w:tcPr>
          <w:p w14:paraId="2B088EE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0B43D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E83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1F739152">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5247" w:type="dxa"/>
            <w:noWrap w:val="0"/>
            <w:vAlign w:val="center"/>
          </w:tcPr>
          <w:p w14:paraId="437E120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FB5AD6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F01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E58896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5247" w:type="dxa"/>
            <w:noWrap w:val="0"/>
            <w:vAlign w:val="center"/>
          </w:tcPr>
          <w:p w14:paraId="4CA324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51E0E6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03E5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0D5C4D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5247" w:type="dxa"/>
            <w:noWrap w:val="0"/>
            <w:vAlign w:val="center"/>
          </w:tcPr>
          <w:p w14:paraId="48F2C84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D47E14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1E3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AD169C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5247" w:type="dxa"/>
            <w:noWrap w:val="0"/>
            <w:vAlign w:val="center"/>
          </w:tcPr>
          <w:p w14:paraId="7A9E0E9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C411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DFD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6B939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5247" w:type="dxa"/>
            <w:noWrap w:val="0"/>
            <w:vAlign w:val="center"/>
          </w:tcPr>
          <w:p w14:paraId="4C293E9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06F45BC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15C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5EB38A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5247" w:type="dxa"/>
            <w:noWrap w:val="0"/>
            <w:vAlign w:val="center"/>
          </w:tcPr>
          <w:p w14:paraId="287EFC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ECFB4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bl>
    <w:p w14:paraId="7C4E3F08">
      <w:pPr>
        <w:keepNext w:val="0"/>
        <w:keepLines w:val="0"/>
        <w:pageBreakBefore w:val="0"/>
        <w:widowControl w:val="0"/>
        <w:kinsoku/>
        <w:wordWrap/>
        <w:overflowPunct/>
        <w:topLinePunct w:val="0"/>
        <w:autoSpaceDE/>
        <w:autoSpaceDN/>
        <w:bidi w:val="0"/>
        <w:snapToGrid/>
        <w:spacing w:after="0" w:line="360" w:lineRule="auto"/>
        <w:ind w:firstLine="482"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文件要求据实逐条填写，不得虚假响应，虚假响应的，其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32EC145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580818E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3A09044B">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35EB155A">
      <w:pPr>
        <w:rPr>
          <w:rFonts w:hint="eastAsia"/>
          <w:color w:val="auto"/>
        </w:rPr>
      </w:pPr>
      <w:r>
        <w:rPr>
          <w:rFonts w:hint="eastAsia"/>
          <w:color w:val="auto"/>
        </w:rPr>
        <w:br w:type="page"/>
      </w:r>
    </w:p>
    <w:p w14:paraId="5DF3BDFC">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color w:val="auto"/>
          <w:sz w:val="30"/>
          <w:szCs w:val="30"/>
          <w:highlight w:val="none"/>
        </w:rPr>
      </w:pPr>
      <w:bookmarkStart w:id="320" w:name="_Toc13762"/>
      <w:bookmarkStart w:id="321" w:name="_Toc7335"/>
      <w:bookmarkStart w:id="322" w:name="_Toc3063"/>
      <w:bookmarkStart w:id="323" w:name="_Toc2316"/>
      <w:bookmarkStart w:id="324" w:name="_Toc28472"/>
      <w:bookmarkStart w:id="325" w:name="_Toc31860"/>
      <w:bookmarkStart w:id="326" w:name="_Toc12566"/>
      <w:bookmarkStart w:id="327" w:name="_Toc11821"/>
      <w:bookmarkStart w:id="328" w:name="_Toc21630"/>
      <w:bookmarkStart w:id="329" w:name="_Toc13537"/>
      <w:bookmarkStart w:id="330" w:name="_Toc26224"/>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13</w:t>
      </w:r>
      <w:r>
        <w:rPr>
          <w:rFonts w:hint="eastAsia" w:ascii="仿宋" w:hAnsi="仿宋" w:eastAsia="仿宋" w:cs="仿宋"/>
          <w:b/>
          <w:bCs/>
          <w:color w:val="auto"/>
          <w:sz w:val="30"/>
          <w:szCs w:val="30"/>
          <w:highlight w:val="none"/>
          <w:lang w:val="en-US" w:eastAsia="zh-CN"/>
        </w:rPr>
        <w:t>主要</w:t>
      </w:r>
      <w:r>
        <w:rPr>
          <w:rFonts w:hint="eastAsia" w:ascii="仿宋" w:hAnsi="仿宋" w:eastAsia="仿宋" w:cs="仿宋"/>
          <w:b/>
          <w:color w:val="auto"/>
          <w:sz w:val="30"/>
          <w:szCs w:val="30"/>
          <w:highlight w:val="none"/>
        </w:rPr>
        <w:t>人员情况表</w:t>
      </w:r>
      <w:bookmarkEnd w:id="320"/>
      <w:bookmarkEnd w:id="321"/>
      <w:bookmarkEnd w:id="322"/>
      <w:bookmarkEnd w:id="323"/>
      <w:bookmarkEnd w:id="324"/>
    </w:p>
    <w:p w14:paraId="04022E1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lang w:eastAsia="zh-CN"/>
        </w:rPr>
        <w:t>主要</w:t>
      </w:r>
      <w:r>
        <w:rPr>
          <w:rFonts w:hint="eastAsia" w:ascii="仿宋" w:hAnsi="仿宋" w:eastAsia="仿宋" w:cs="仿宋"/>
          <w:b/>
          <w:color w:val="auto"/>
          <w:sz w:val="28"/>
          <w:szCs w:val="28"/>
          <w:highlight w:val="none"/>
        </w:rPr>
        <w:t>人员情况表</w:t>
      </w:r>
    </w:p>
    <w:p w14:paraId="1287AC29">
      <w:pPr>
        <w:pStyle w:val="7"/>
        <w:keepNext w:val="0"/>
        <w:keepLines w:val="0"/>
        <w:pageBreakBefore w:val="0"/>
        <w:widowControl w:val="0"/>
        <w:tabs>
          <w:tab w:val="left" w:pos="7020"/>
        </w:tabs>
        <w:kinsoku/>
        <w:wordWrap/>
        <w:overflowPunct/>
        <w:topLinePunct w:val="0"/>
        <w:autoSpaceDE/>
        <w:autoSpaceDN/>
        <w:bidi w:val="0"/>
        <w:snapToGrid/>
        <w:spacing w:after="0"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rPr>
        <w:t>招标名称</w:t>
      </w: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rPr>
        <w:tab/>
      </w:r>
    </w:p>
    <w:p w14:paraId="7E8A4FB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招标编号</w:t>
      </w:r>
      <w:r>
        <w:rPr>
          <w:rFonts w:hint="eastAsia" w:ascii="仿宋" w:hAnsi="仿宋" w:eastAsia="仿宋" w:cs="仿宋"/>
          <w:color w:val="auto"/>
          <w:kern w:val="0"/>
          <w:sz w:val="24"/>
          <w:szCs w:val="24"/>
          <w:highlight w:val="none"/>
        </w:rPr>
        <w:t>：</w:t>
      </w:r>
    </w:p>
    <w:p w14:paraId="78F46794">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692"/>
        <w:gridCol w:w="914"/>
        <w:gridCol w:w="914"/>
        <w:gridCol w:w="1229"/>
        <w:gridCol w:w="914"/>
        <w:gridCol w:w="914"/>
        <w:gridCol w:w="914"/>
        <w:gridCol w:w="914"/>
      </w:tblGrid>
      <w:tr w14:paraId="25C2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812BD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类别</w:t>
            </w:r>
          </w:p>
        </w:tc>
        <w:tc>
          <w:tcPr>
            <w:tcW w:w="1692" w:type="dxa"/>
            <w:vMerge w:val="restart"/>
            <w:noWrap w:val="0"/>
            <w:vAlign w:val="center"/>
          </w:tcPr>
          <w:p w14:paraId="112BF64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职务</w:t>
            </w:r>
          </w:p>
        </w:tc>
        <w:tc>
          <w:tcPr>
            <w:tcW w:w="914" w:type="dxa"/>
            <w:vMerge w:val="restart"/>
            <w:noWrap w:val="0"/>
            <w:vAlign w:val="center"/>
          </w:tcPr>
          <w:p w14:paraId="3F78549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914" w:type="dxa"/>
            <w:vMerge w:val="restart"/>
            <w:noWrap w:val="0"/>
            <w:vAlign w:val="center"/>
          </w:tcPr>
          <w:p w14:paraId="0F248C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职称</w:t>
            </w:r>
          </w:p>
        </w:tc>
        <w:tc>
          <w:tcPr>
            <w:tcW w:w="1229" w:type="dxa"/>
            <w:vMerge w:val="restart"/>
            <w:noWrap w:val="0"/>
            <w:vAlign w:val="center"/>
          </w:tcPr>
          <w:p w14:paraId="5BF45AD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常住地</w:t>
            </w:r>
          </w:p>
        </w:tc>
        <w:tc>
          <w:tcPr>
            <w:tcW w:w="3656" w:type="dxa"/>
            <w:gridSpan w:val="4"/>
            <w:noWrap w:val="0"/>
            <w:vAlign w:val="center"/>
          </w:tcPr>
          <w:p w14:paraId="503C4D8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资格证明（附复印件）</w:t>
            </w:r>
          </w:p>
        </w:tc>
      </w:tr>
      <w:tr w14:paraId="69C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4F4C470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vMerge w:val="continue"/>
            <w:noWrap w:val="0"/>
            <w:vAlign w:val="center"/>
          </w:tcPr>
          <w:p w14:paraId="38442A0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14EAF7E4">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6650BB2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229" w:type="dxa"/>
            <w:vMerge w:val="continue"/>
            <w:noWrap w:val="0"/>
            <w:vAlign w:val="center"/>
          </w:tcPr>
          <w:p w14:paraId="59A6FEB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noWrap w:val="0"/>
            <w:vAlign w:val="center"/>
          </w:tcPr>
          <w:p w14:paraId="27CCF44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证书</w:t>
            </w:r>
          </w:p>
          <w:p w14:paraId="2B7A201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914" w:type="dxa"/>
            <w:noWrap w:val="0"/>
            <w:vAlign w:val="center"/>
          </w:tcPr>
          <w:p w14:paraId="3B89277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级别</w:t>
            </w:r>
          </w:p>
        </w:tc>
        <w:tc>
          <w:tcPr>
            <w:tcW w:w="914" w:type="dxa"/>
            <w:noWrap w:val="0"/>
            <w:vAlign w:val="center"/>
          </w:tcPr>
          <w:p w14:paraId="69A9890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证号</w:t>
            </w:r>
          </w:p>
        </w:tc>
        <w:tc>
          <w:tcPr>
            <w:tcW w:w="914" w:type="dxa"/>
            <w:noWrap w:val="0"/>
            <w:vAlign w:val="center"/>
          </w:tcPr>
          <w:p w14:paraId="61A5A0B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w:t>
            </w:r>
          </w:p>
        </w:tc>
      </w:tr>
      <w:tr w14:paraId="2C00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3BA2805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管理</w:t>
            </w:r>
          </w:p>
          <w:p w14:paraId="3E414C7D">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0037C61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B89C2A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E5E914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5434789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46F4D3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74F35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A3F964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D3DF0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F63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962878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5A22E80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ED922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4B9ED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E144A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B222D0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7D0A7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F66514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C544C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72D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298F450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4AE481B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0FDD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A78AE6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08AF5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B760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86656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35A6A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D5190D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3EE8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4B4C20B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服务</w:t>
            </w:r>
          </w:p>
          <w:p w14:paraId="0148568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73D89BC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28091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CD6AF8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F5070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07E67B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99691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EB51EB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59541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765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3A8073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716B3E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182D78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CCBF81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48056E5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E8A78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256D0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EBFF7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3DE5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6A2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52BAA23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61C826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E2874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9EF986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76C5C95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303E4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052A2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EA548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9C1E7B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6C69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E39F403">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w:t>
            </w:r>
          </w:p>
          <w:p w14:paraId="61F1E0E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务人员</w:t>
            </w:r>
          </w:p>
        </w:tc>
        <w:tc>
          <w:tcPr>
            <w:tcW w:w="1692" w:type="dxa"/>
            <w:noWrap w:val="0"/>
            <w:vAlign w:val="top"/>
          </w:tcPr>
          <w:p w14:paraId="53BA827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404F2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DD4B5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B98D53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2B56B5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35B72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778A43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F73AEF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E88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4258B6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5B042D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3CD70D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E0E9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C5090C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833C4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6A9CA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6A491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F55D8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093E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51B400E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63F5441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6FC5FF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F2CB6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6BE6190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1179F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6947F7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CF324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F833C5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bl>
    <w:p w14:paraId="3D1DEF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7F032F2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2AF3106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03D8E5">
      <w:pPr>
        <w:pStyle w:val="12"/>
        <w:pageBreakBefore w:val="0"/>
        <w:widowControl w:val="0"/>
        <w:kinsoku/>
        <w:wordWrap/>
        <w:overflowPunct/>
        <w:topLinePunct w:val="0"/>
        <w:bidi w:val="0"/>
        <w:snapToGrid/>
        <w:rPr>
          <w:rFonts w:hint="eastAsia"/>
          <w:color w:val="auto"/>
        </w:rPr>
      </w:pPr>
    </w:p>
    <w:p w14:paraId="69560300">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31" w:name="_Toc26460"/>
      <w:bookmarkStart w:id="332" w:name="_Toc15616"/>
      <w:r>
        <w:rPr>
          <w:rFonts w:hint="eastAsia" w:ascii="仿宋" w:hAnsi="仿宋" w:eastAsia="仿宋" w:cs="仿宋"/>
          <w:b/>
          <w:color w:val="auto"/>
          <w:sz w:val="30"/>
          <w:szCs w:val="30"/>
          <w:highlight w:val="none"/>
          <w:lang w:eastAsia="zh-CN"/>
        </w:rPr>
        <w:br w:type="page"/>
      </w:r>
    </w:p>
    <w:p w14:paraId="5E58DDB6">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333" w:name="_Toc16509"/>
      <w:bookmarkStart w:id="334" w:name="_Toc31211"/>
      <w:r>
        <w:rPr>
          <w:rFonts w:hint="eastAsia" w:ascii="仿宋" w:hAnsi="仿宋" w:eastAsia="仿宋" w:cs="仿宋"/>
          <w:b/>
          <w:bCs/>
          <w:color w:val="auto"/>
          <w:sz w:val="30"/>
          <w:szCs w:val="30"/>
          <w:highlight w:val="none"/>
          <w:lang w:val="en-US" w:eastAsia="zh-CN"/>
        </w:rPr>
        <w:t>格式14承诺函2</w:t>
      </w:r>
      <w:bookmarkEnd w:id="331"/>
      <w:bookmarkEnd w:id="332"/>
      <w:bookmarkEnd w:id="333"/>
      <w:bookmarkEnd w:id="334"/>
    </w:p>
    <w:p w14:paraId="193129C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承诺函</w:t>
      </w:r>
      <w:r>
        <w:rPr>
          <w:rFonts w:hint="eastAsia" w:ascii="仿宋" w:hAnsi="仿宋" w:eastAsia="仿宋" w:cs="仿宋"/>
          <w:b/>
          <w:bCs/>
          <w:color w:val="auto"/>
          <w:sz w:val="28"/>
          <w:szCs w:val="28"/>
          <w:highlight w:val="none"/>
          <w:lang w:val="en-US" w:eastAsia="zh-CN"/>
        </w:rPr>
        <w:t>2</w:t>
      </w:r>
    </w:p>
    <w:p w14:paraId="36DEA80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eastAsia="zh-CN"/>
        </w:rPr>
        <w:t>四川虹采招标代理有限责任公司：</w:t>
      </w:r>
    </w:p>
    <w:p w14:paraId="6794E8EC">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left"/>
        <w:textAlignment w:val="auto"/>
        <w:outlineLvl w:val="9"/>
        <w:rPr>
          <w:rFonts w:ascii="仿宋" w:hAnsi="仿宋" w:eastAsia="仿宋"/>
          <w:color w:val="auto"/>
          <w:sz w:val="24"/>
        </w:rPr>
      </w:pPr>
    </w:p>
    <w:p w14:paraId="1C6336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我方作为本次采购项目的投标人，根据招标文件要求，现郑重承诺如下：</w:t>
      </w:r>
    </w:p>
    <w:p w14:paraId="0799C7E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一</w:t>
      </w:r>
      <w:r>
        <w:rPr>
          <w:rFonts w:hint="eastAsia" w:ascii="仿宋" w:hAnsi="仿宋" w:eastAsia="仿宋"/>
          <w:color w:val="auto"/>
          <w:sz w:val="24"/>
        </w:rPr>
        <w:t>、参加本次招标采购活动，不存在与单位负责人为同一人或者存在直接控股、管理关系的其他</w:t>
      </w:r>
      <w:r>
        <w:rPr>
          <w:rFonts w:hint="eastAsia" w:ascii="仿宋" w:hAnsi="仿宋" w:eastAsia="仿宋"/>
          <w:color w:val="auto"/>
          <w:sz w:val="24"/>
          <w:lang w:eastAsia="zh-CN"/>
        </w:rPr>
        <w:t>投标人</w:t>
      </w:r>
      <w:r>
        <w:rPr>
          <w:rFonts w:hint="eastAsia" w:ascii="仿宋" w:hAnsi="仿宋" w:eastAsia="仿宋"/>
          <w:color w:val="auto"/>
          <w:sz w:val="24"/>
        </w:rPr>
        <w:t>参与同一合同项下的采购活动的行为。</w:t>
      </w:r>
    </w:p>
    <w:p w14:paraId="500790C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二</w:t>
      </w:r>
      <w:r>
        <w:rPr>
          <w:rFonts w:ascii="仿宋" w:hAnsi="仿宋" w:eastAsia="仿宋"/>
          <w:color w:val="auto"/>
          <w:sz w:val="24"/>
        </w:rPr>
        <w:t>、</w:t>
      </w:r>
      <w:r>
        <w:rPr>
          <w:rFonts w:hint="eastAsia" w:ascii="仿宋" w:hAnsi="仿宋" w:eastAsia="仿宋"/>
          <w:color w:val="auto"/>
          <w:sz w:val="24"/>
        </w:rPr>
        <w:t>为采购项目提供整体设计、规范编制或者项目管理、监理、检测等服务的</w:t>
      </w:r>
      <w:r>
        <w:rPr>
          <w:rFonts w:hint="eastAsia" w:ascii="仿宋" w:hAnsi="仿宋" w:eastAsia="仿宋"/>
          <w:color w:val="auto"/>
          <w:sz w:val="24"/>
          <w:lang w:eastAsia="zh-CN"/>
        </w:rPr>
        <w:t>投标人</w:t>
      </w:r>
      <w:r>
        <w:rPr>
          <w:rFonts w:hint="eastAsia" w:ascii="仿宋" w:hAnsi="仿宋" w:eastAsia="仿宋"/>
          <w:color w:val="auto"/>
          <w:sz w:val="24"/>
        </w:rPr>
        <w:t>，不得再参加该采购项目的其他采购活动，我方</w:t>
      </w:r>
      <w:r>
        <w:rPr>
          <w:rFonts w:ascii="仿宋" w:hAnsi="仿宋" w:eastAsia="仿宋"/>
          <w:color w:val="auto"/>
          <w:sz w:val="24"/>
        </w:rPr>
        <w:t>承诺</w:t>
      </w:r>
      <w:r>
        <w:rPr>
          <w:rFonts w:hint="eastAsia" w:ascii="仿宋" w:hAnsi="仿宋" w:eastAsia="仿宋"/>
          <w:color w:val="auto"/>
          <w:sz w:val="24"/>
        </w:rPr>
        <w:t>不属于此类禁止参加本项目的</w:t>
      </w:r>
      <w:r>
        <w:rPr>
          <w:rFonts w:hint="eastAsia" w:ascii="仿宋" w:hAnsi="仿宋" w:eastAsia="仿宋"/>
          <w:color w:val="auto"/>
          <w:sz w:val="24"/>
          <w:lang w:eastAsia="zh-CN"/>
        </w:rPr>
        <w:t>投标人</w:t>
      </w:r>
      <w:r>
        <w:rPr>
          <w:rFonts w:ascii="仿宋" w:hAnsi="仿宋" w:eastAsia="仿宋"/>
          <w:color w:val="auto"/>
          <w:sz w:val="24"/>
        </w:rPr>
        <w:t>。</w:t>
      </w:r>
    </w:p>
    <w:p w14:paraId="25DBE77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三</w:t>
      </w:r>
      <w:r>
        <w:rPr>
          <w:rFonts w:hint="eastAsia" w:ascii="仿宋" w:hAnsi="仿宋" w:eastAsia="仿宋"/>
          <w:color w:val="auto"/>
          <w:sz w:val="24"/>
        </w:rPr>
        <w:t>、参加本次招标采购活动，不存在和其他</w:t>
      </w:r>
      <w:r>
        <w:rPr>
          <w:rFonts w:hint="eastAsia" w:ascii="仿宋" w:hAnsi="仿宋" w:eastAsia="仿宋"/>
          <w:color w:val="auto"/>
          <w:sz w:val="24"/>
          <w:lang w:eastAsia="zh-CN"/>
        </w:rPr>
        <w:t>投标人</w:t>
      </w:r>
      <w:r>
        <w:rPr>
          <w:rFonts w:hint="eastAsia" w:ascii="仿宋" w:hAnsi="仿宋" w:eastAsia="仿宋"/>
          <w:color w:val="auto"/>
          <w:sz w:val="24"/>
        </w:rPr>
        <w:t>在同一合同项下的采购项目中，同时委托同一个自然人、同一家庭的人员、同一单位的人员作为代理人的行为。</w:t>
      </w:r>
    </w:p>
    <w:p w14:paraId="599466B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四</w:t>
      </w:r>
      <w:r>
        <w:rPr>
          <w:rFonts w:hint="eastAsia" w:ascii="仿宋" w:hAnsi="仿宋" w:eastAsia="仿宋"/>
          <w:color w:val="auto"/>
          <w:sz w:val="24"/>
        </w:rPr>
        <w:t>、投标文件中提供的能够给予</w:t>
      </w:r>
      <w:r>
        <w:rPr>
          <w:rFonts w:hint="eastAsia" w:ascii="仿宋" w:hAnsi="仿宋" w:eastAsia="仿宋"/>
          <w:color w:val="auto"/>
          <w:sz w:val="24"/>
          <w:lang w:eastAsia="zh-CN"/>
        </w:rPr>
        <w:t>招标人</w:t>
      </w:r>
      <w:r>
        <w:rPr>
          <w:rFonts w:hint="eastAsia" w:ascii="仿宋" w:hAnsi="仿宋" w:eastAsia="仿宋"/>
          <w:color w:val="auto"/>
          <w:sz w:val="24"/>
        </w:rPr>
        <w:t>带来优惠、好处的任何材料资料和技术、服务、商务、</w:t>
      </w:r>
      <w:r>
        <w:rPr>
          <w:rFonts w:hint="eastAsia" w:ascii="仿宋" w:hAnsi="仿宋" w:eastAsia="仿宋"/>
          <w:color w:val="auto"/>
          <w:sz w:val="24"/>
          <w:lang w:eastAsia="zh-CN"/>
        </w:rPr>
        <w:t>投标</w:t>
      </w:r>
      <w:r>
        <w:rPr>
          <w:rFonts w:hint="eastAsia" w:ascii="仿宋" w:hAnsi="仿宋" w:eastAsia="仿宋"/>
          <w:color w:val="auto"/>
          <w:sz w:val="24"/>
        </w:rPr>
        <w:t>产品等响应承诺情况都是真实的、有效的、合法的。</w:t>
      </w:r>
    </w:p>
    <w:p w14:paraId="0872170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五</w:t>
      </w:r>
      <w:r>
        <w:rPr>
          <w:rFonts w:hint="eastAsia" w:ascii="仿宋" w:hAnsi="仿宋" w:eastAsia="仿宋"/>
          <w:color w:val="auto"/>
          <w:sz w:val="24"/>
        </w:rPr>
        <w:t>、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083F96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六</w:t>
      </w:r>
      <w:r>
        <w:rPr>
          <w:rFonts w:hint="eastAsia" w:ascii="仿宋" w:hAnsi="仿宋" w:eastAsia="仿宋"/>
          <w:color w:val="auto"/>
          <w:sz w:val="24"/>
        </w:rPr>
        <w:t>、参加本次招标采购活动，</w:t>
      </w:r>
      <w:r>
        <w:rPr>
          <w:rFonts w:ascii="仿宋" w:hAnsi="仿宋" w:eastAsia="仿宋"/>
          <w:color w:val="auto"/>
          <w:sz w:val="24"/>
        </w:rPr>
        <w:t>我方</w:t>
      </w:r>
      <w:r>
        <w:rPr>
          <w:rFonts w:hint="eastAsia" w:ascii="仿宋" w:hAnsi="仿宋" w:eastAsia="仿宋"/>
          <w:color w:val="auto"/>
          <w:sz w:val="24"/>
        </w:rPr>
        <w:t>完全同意</w:t>
      </w:r>
      <w:r>
        <w:rPr>
          <w:rFonts w:ascii="仿宋" w:hAnsi="仿宋" w:eastAsia="仿宋"/>
          <w:color w:val="auto"/>
          <w:sz w:val="24"/>
        </w:rPr>
        <w:t>招标文件关于“</w:t>
      </w:r>
      <w:r>
        <w:rPr>
          <w:rFonts w:hint="eastAsia" w:ascii="仿宋" w:hAnsi="仿宋" w:eastAsia="仿宋"/>
          <w:color w:val="auto"/>
          <w:sz w:val="24"/>
        </w:rPr>
        <w:t>投标</w:t>
      </w:r>
      <w:r>
        <w:rPr>
          <w:rFonts w:ascii="仿宋" w:hAnsi="仿宋" w:eastAsia="仿宋"/>
          <w:color w:val="auto"/>
          <w:sz w:val="24"/>
        </w:rPr>
        <w:t>费用”</w:t>
      </w:r>
      <w:r>
        <w:rPr>
          <w:rFonts w:hint="eastAsia" w:ascii="仿宋" w:hAnsi="仿宋" w:eastAsia="仿宋"/>
          <w:color w:val="auto"/>
          <w:sz w:val="24"/>
        </w:rPr>
        <w:t>、“合同</w:t>
      </w:r>
      <w:r>
        <w:rPr>
          <w:rFonts w:ascii="仿宋" w:hAnsi="仿宋" w:eastAsia="仿宋"/>
          <w:color w:val="auto"/>
          <w:sz w:val="24"/>
        </w:rPr>
        <w:t>分包</w:t>
      </w:r>
      <w:r>
        <w:rPr>
          <w:rFonts w:hint="eastAsia" w:ascii="仿宋" w:hAnsi="仿宋" w:eastAsia="仿宋"/>
          <w:color w:val="auto"/>
          <w:sz w:val="24"/>
        </w:rPr>
        <w:t>”、</w:t>
      </w:r>
      <w:r>
        <w:rPr>
          <w:rFonts w:ascii="仿宋" w:hAnsi="仿宋" w:eastAsia="仿宋"/>
          <w:color w:val="auto"/>
          <w:sz w:val="24"/>
        </w:rPr>
        <w:t>“</w:t>
      </w:r>
      <w:r>
        <w:rPr>
          <w:rFonts w:hint="eastAsia" w:ascii="仿宋" w:hAnsi="仿宋" w:eastAsia="仿宋"/>
          <w:color w:val="auto"/>
          <w:sz w:val="24"/>
        </w:rPr>
        <w:t>合同</w:t>
      </w:r>
      <w:r>
        <w:rPr>
          <w:rFonts w:ascii="仿宋" w:hAnsi="仿宋" w:eastAsia="仿宋"/>
          <w:color w:val="auto"/>
          <w:sz w:val="24"/>
        </w:rPr>
        <w:t>转包”</w:t>
      </w:r>
      <w:r>
        <w:rPr>
          <w:rFonts w:hint="eastAsia" w:ascii="仿宋" w:hAnsi="仿宋" w:eastAsia="仿宋"/>
          <w:color w:val="auto"/>
          <w:sz w:val="24"/>
          <w:lang w:val="en-US" w:eastAsia="zh-CN"/>
        </w:rPr>
        <w:t>等</w:t>
      </w:r>
      <w:r>
        <w:rPr>
          <w:rFonts w:ascii="仿宋" w:hAnsi="仿宋" w:eastAsia="仿宋"/>
          <w:color w:val="auto"/>
          <w:sz w:val="24"/>
        </w:rPr>
        <w:t>实质性要求</w:t>
      </w:r>
      <w:r>
        <w:rPr>
          <w:rFonts w:hint="eastAsia" w:ascii="仿宋" w:hAnsi="仿宋" w:eastAsia="仿宋"/>
          <w:color w:val="auto"/>
          <w:sz w:val="24"/>
        </w:rPr>
        <w:t>，</w:t>
      </w:r>
      <w:r>
        <w:rPr>
          <w:rFonts w:ascii="仿宋" w:hAnsi="仿宋" w:eastAsia="仿宋"/>
          <w:color w:val="auto"/>
          <w:sz w:val="24"/>
        </w:rPr>
        <w:t>并承诺严格按照招标文件要求</w:t>
      </w:r>
      <w:r>
        <w:rPr>
          <w:rFonts w:hint="eastAsia" w:ascii="仿宋" w:hAnsi="仿宋" w:eastAsia="仿宋"/>
          <w:color w:val="auto"/>
          <w:sz w:val="24"/>
        </w:rPr>
        <w:t>履行</w:t>
      </w:r>
      <w:r>
        <w:rPr>
          <w:rFonts w:ascii="仿宋" w:hAnsi="仿宋" w:eastAsia="仿宋"/>
          <w:color w:val="auto"/>
          <w:sz w:val="24"/>
        </w:rPr>
        <w:t>。</w:t>
      </w:r>
    </w:p>
    <w:p w14:paraId="0F9686A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我方对上述承诺的内容事项真实性负责。如经查实上述承诺的内容事项存在虚假，我方愿意接受以提供虚假材料谋取中标追究法律责任。</w:t>
      </w:r>
    </w:p>
    <w:p w14:paraId="205E4618">
      <w:pPr>
        <w:keepNext w:val="0"/>
        <w:keepLines w:val="0"/>
        <w:pageBreakBefore w:val="0"/>
        <w:widowControl w:val="0"/>
        <w:tabs>
          <w:tab w:val="left" w:pos="8127"/>
        </w:tabs>
        <w:kinsoku/>
        <w:wordWrap/>
        <w:overflowPunct/>
        <w:topLinePunct w:val="0"/>
        <w:autoSpaceDE/>
        <w:autoSpaceDN/>
        <w:bidi w:val="0"/>
        <w:adjustRightInd/>
        <w:snapToGrid/>
        <w:spacing w:after="0" w:line="360" w:lineRule="auto"/>
        <w:ind w:firstLine="0" w:firstLineChars="0"/>
        <w:jc w:val="left"/>
        <w:textAlignment w:val="auto"/>
        <w:outlineLvl w:val="9"/>
        <w:rPr>
          <w:rFonts w:hint="eastAsia" w:ascii="仿宋" w:hAnsi="仿宋" w:eastAsia="仿宋"/>
          <w:color w:val="auto"/>
          <w:sz w:val="24"/>
        </w:rPr>
      </w:pPr>
    </w:p>
    <w:p w14:paraId="76877F8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p>
    <w:p w14:paraId="7C998BB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投标人名称（</w:t>
      </w:r>
      <w:r>
        <w:rPr>
          <w:rFonts w:hint="eastAsia" w:ascii="仿宋" w:hAnsi="仿宋" w:eastAsia="仿宋" w:cs="Times New Roman"/>
          <w:color w:val="auto"/>
          <w:sz w:val="24"/>
          <w:lang w:eastAsia="zh-CN"/>
        </w:rPr>
        <w:t>加盖</w:t>
      </w:r>
      <w:r>
        <w:rPr>
          <w:rFonts w:hint="eastAsia" w:ascii="仿宋" w:hAnsi="仿宋" w:eastAsia="仿宋" w:cs="Times New Roman"/>
          <w:color w:val="auto"/>
          <w:sz w:val="24"/>
        </w:rPr>
        <w:t>公章）：</w:t>
      </w:r>
      <w:r>
        <w:rPr>
          <w:rFonts w:hint="eastAsia" w:ascii="仿宋" w:hAnsi="仿宋" w:eastAsia="仿宋" w:cs="Times New Roman"/>
          <w:color w:val="auto"/>
          <w:sz w:val="24"/>
        </w:rPr>
        <w:tab/>
      </w:r>
    </w:p>
    <w:p w14:paraId="5D73CF4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日期：XXX年XXX月XXX日</w:t>
      </w:r>
    </w:p>
    <w:p w14:paraId="52F2248D">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27F7EC6C">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jc w:val="both"/>
        <w:textAlignment w:val="auto"/>
        <w:outlineLvl w:val="1"/>
        <w:rPr>
          <w:rFonts w:hint="eastAsia" w:ascii="仿宋_GB2312"/>
          <w:b/>
          <w:color w:val="auto"/>
          <w:sz w:val="30"/>
          <w:szCs w:val="30"/>
          <w:highlight w:val="none"/>
        </w:rPr>
      </w:pPr>
      <w:bookmarkStart w:id="335" w:name="_Toc4369"/>
      <w:bookmarkStart w:id="336" w:name="_Toc31836"/>
      <w:bookmarkStart w:id="337" w:name="_Toc11864"/>
      <w:bookmarkStart w:id="338" w:name="_Toc3406"/>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15投标</w:t>
      </w:r>
      <w:r>
        <w:rPr>
          <w:rFonts w:hint="eastAsia" w:ascii="仿宋" w:hAnsi="仿宋" w:eastAsia="仿宋" w:cs="仿宋"/>
          <w:b/>
          <w:color w:val="auto"/>
          <w:sz w:val="30"/>
          <w:szCs w:val="30"/>
          <w:highlight w:val="none"/>
          <w:lang w:eastAsia="zh-CN"/>
        </w:rPr>
        <w:t>函</w:t>
      </w:r>
      <w:bookmarkEnd w:id="335"/>
      <w:bookmarkEnd w:id="336"/>
      <w:bookmarkEnd w:id="337"/>
      <w:bookmarkEnd w:id="338"/>
    </w:p>
    <w:p w14:paraId="1EE7C097">
      <w:pPr>
        <w:pStyle w:val="6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投标函</w:t>
      </w:r>
    </w:p>
    <w:p w14:paraId="4C27DA5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textAlignment w:val="auto"/>
        <w:rPr>
          <w:rFonts w:hint="eastAsia" w:ascii="仿宋" w:hAnsi="仿宋" w:eastAsia="仿宋" w:cs="仿宋"/>
          <w:color w:val="auto"/>
          <w:sz w:val="24"/>
          <w:szCs w:val="24"/>
          <w:highlight w:val="none"/>
          <w:u w:val="none"/>
          <w:lang w:eastAsia="zh-CN"/>
        </w:rPr>
      </w:pPr>
      <w:r>
        <w:rPr>
          <w:rFonts w:hint="eastAsia" w:ascii="宋体" w:hAnsi="宋体" w:eastAsia="宋体" w:cs="宋体"/>
          <w:color w:val="auto"/>
          <w:sz w:val="21"/>
          <w:szCs w:val="21"/>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p>
    <w:p w14:paraId="18E9C545">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我方全面研究了“</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招标文件，决定参加贵单位组织的本项目投标。</w:t>
      </w:r>
    </w:p>
    <w:p w14:paraId="6103F43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我方自愿按照招标文件规定的各项要求向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总投标价为人民</w:t>
      </w:r>
      <w:r>
        <w:rPr>
          <w:rFonts w:hint="eastAsia" w:ascii="仿宋" w:hAnsi="仿宋" w:eastAsia="仿宋" w:cs="仿宋"/>
          <w:color w:val="auto"/>
          <w:sz w:val="24"/>
          <w:szCs w:val="24"/>
          <w:highlight w:val="none"/>
          <w:lang w:eastAsia="zh-CN"/>
        </w:rPr>
        <w:t>币</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5F54D6E9">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、一旦我方中标，我方将严格按照招标文件第</w:t>
      </w:r>
      <w:r>
        <w:rPr>
          <w:rFonts w:hint="eastAsia" w:ascii="仿宋" w:hAnsi="仿宋" w:eastAsia="仿宋" w:cs="仿宋"/>
          <w:color w:val="auto"/>
          <w:sz w:val="24"/>
          <w:szCs w:val="24"/>
          <w:highlight w:val="none"/>
          <w:lang w:eastAsia="zh-CN"/>
        </w:rPr>
        <w:t>六</w:t>
      </w:r>
      <w:r>
        <w:rPr>
          <w:rFonts w:hint="eastAsia" w:ascii="仿宋" w:hAnsi="仿宋" w:eastAsia="仿宋" w:cs="仿宋"/>
          <w:color w:val="auto"/>
          <w:sz w:val="24"/>
          <w:szCs w:val="24"/>
          <w:highlight w:val="none"/>
        </w:rPr>
        <w:t>章的规定的所有要求，向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提供所需货物及服务，认真履行合同规定的责任和义务，并按照合同相关规定完成项目。</w:t>
      </w:r>
    </w:p>
    <w:p w14:paraId="1EBB132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三</w:t>
      </w:r>
      <w:r>
        <w:rPr>
          <w:rFonts w:hint="eastAsia" w:ascii="仿宋" w:hAnsi="仿宋" w:eastAsia="仿宋" w:cs="仿宋"/>
          <w:color w:val="auto"/>
          <w:sz w:val="24"/>
          <w:szCs w:val="24"/>
          <w:highlight w:val="none"/>
        </w:rPr>
        <w:t>、由于</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原因未能按照招标文件的规定</w:t>
      </w:r>
      <w:r>
        <w:rPr>
          <w:rFonts w:hint="eastAsia" w:ascii="仿宋" w:hAnsi="仿宋" w:eastAsia="仿宋" w:cs="仿宋"/>
          <w:color w:val="auto"/>
          <w:sz w:val="24"/>
          <w:szCs w:val="24"/>
          <w:highlight w:val="none"/>
          <w:lang w:eastAsia="zh-CN"/>
        </w:rPr>
        <w:t>缴纳</w:t>
      </w:r>
      <w:r>
        <w:rPr>
          <w:rFonts w:hint="eastAsia" w:ascii="仿宋" w:hAnsi="仿宋" w:eastAsia="仿宋" w:cs="仿宋"/>
          <w:color w:val="auto"/>
          <w:sz w:val="24"/>
          <w:szCs w:val="24"/>
          <w:highlight w:val="none"/>
        </w:rPr>
        <w:t>履约保证金；</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在投标文件中提供虚假材料的；投标人与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、其他投标人恶意串通的；</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在招标活动中还有其他任何违法、违纪</w:t>
      </w:r>
      <w:r>
        <w:rPr>
          <w:rFonts w:hint="eastAsia" w:ascii="仿宋" w:hAnsi="仿宋" w:eastAsia="仿宋" w:cs="仿宋"/>
          <w:color w:val="auto"/>
          <w:sz w:val="24"/>
          <w:szCs w:val="24"/>
          <w:highlight w:val="none"/>
          <w:lang w:eastAsia="zh-CN"/>
        </w:rPr>
        <w:t>、违规</w:t>
      </w:r>
      <w:r>
        <w:rPr>
          <w:rFonts w:hint="eastAsia" w:ascii="仿宋" w:hAnsi="仿宋" w:eastAsia="仿宋" w:cs="仿宋"/>
          <w:color w:val="auto"/>
          <w:sz w:val="24"/>
          <w:szCs w:val="24"/>
          <w:highlight w:val="none"/>
        </w:rPr>
        <w:t>行为的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将视为无效投标人。</w:t>
      </w:r>
    </w:p>
    <w:p w14:paraId="5E8DBEF2">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我方为本项目提交的投标文件正本</w:t>
      </w: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份，</w:t>
      </w:r>
      <w:r>
        <w:rPr>
          <w:rFonts w:hint="eastAsia" w:ascii="仿宋" w:hAnsi="仿宋" w:eastAsia="仿宋" w:cs="仿宋"/>
          <w:color w:val="auto"/>
          <w:sz w:val="24"/>
          <w:szCs w:val="24"/>
          <w:highlight w:val="none"/>
          <w:lang w:eastAsia="zh-CN"/>
        </w:rPr>
        <w:t>电子版</w:t>
      </w:r>
      <w:r>
        <w:rPr>
          <w:rFonts w:hint="eastAsia" w:ascii="仿宋" w:hAnsi="仿宋" w:eastAsia="仿宋" w:cs="仿宋"/>
          <w:color w:val="auto"/>
          <w:sz w:val="24"/>
          <w:szCs w:val="24"/>
          <w:highlight w:val="none"/>
          <w:lang w:val="en-US" w:eastAsia="zh-CN"/>
        </w:rPr>
        <w:t>一份，</w:t>
      </w:r>
      <w:r>
        <w:rPr>
          <w:rFonts w:hint="eastAsia" w:ascii="仿宋" w:hAnsi="仿宋" w:eastAsia="仿宋" w:cs="仿宋"/>
          <w:color w:val="auto"/>
          <w:sz w:val="24"/>
          <w:szCs w:val="24"/>
          <w:highlight w:val="none"/>
        </w:rPr>
        <w:t>用于开标唱标的“开标一览表”</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份。</w:t>
      </w:r>
    </w:p>
    <w:p w14:paraId="1CF7807B">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五、我方已详细审查全部招标文件，包括修改文件（如有）以及全部参考资料和有关附件。我方已完全理解并同意放弃对此有不清楚、误解以及对招标文件内容质疑的权利。</w:t>
      </w:r>
    </w:p>
    <w:p w14:paraId="0918A57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六、投标有效期：投标截止时间届满后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天。</w:t>
      </w:r>
    </w:p>
    <w:p w14:paraId="516790F8">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rPr>
        <w:t>、我方保证已提供和将要提供的文件资料是真实、准确的</w:t>
      </w:r>
      <w:r>
        <w:rPr>
          <w:rFonts w:hint="eastAsia" w:ascii="仿宋" w:hAnsi="仿宋" w:eastAsia="仿宋" w:cs="仿宋"/>
          <w:color w:val="auto"/>
          <w:sz w:val="24"/>
          <w:szCs w:val="24"/>
          <w:highlight w:val="none"/>
          <w:lang w:eastAsia="zh-CN"/>
        </w:rPr>
        <w:t>并对</w:t>
      </w:r>
      <w:r>
        <w:rPr>
          <w:rFonts w:hint="eastAsia" w:ascii="仿宋" w:hAnsi="仿宋" w:eastAsia="仿宋" w:cs="仿宋"/>
          <w:color w:val="auto"/>
          <w:sz w:val="24"/>
          <w:szCs w:val="24"/>
          <w:highlight w:val="none"/>
        </w:rPr>
        <w:t>其真实性、合法性承担一切法律责任。</w:t>
      </w:r>
    </w:p>
    <w:p w14:paraId="02D4D670">
      <w:pPr>
        <w:pStyle w:val="6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right="0" w:rightChars="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八、我方完全同意按照招标文件的相关规定，支付招标代理服务费。</w:t>
      </w:r>
    </w:p>
    <w:p w14:paraId="7B0FC53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74E2DFE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24ECC2B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D91B6B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日期：XXX年XXX月XXX日</w:t>
      </w:r>
    </w:p>
    <w:p w14:paraId="5EAE6668">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3BCF47C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1"/>
        <w:rPr>
          <w:rFonts w:hint="eastAsia" w:ascii="仿宋" w:hAnsi="仿宋" w:eastAsia="仿宋" w:cs="仿宋"/>
          <w:b/>
          <w:bCs/>
          <w:color w:val="auto"/>
          <w:sz w:val="30"/>
          <w:szCs w:val="30"/>
          <w:highlight w:val="none"/>
        </w:rPr>
      </w:pPr>
      <w:bookmarkStart w:id="339" w:name="_Toc5960"/>
      <w:bookmarkStart w:id="340" w:name="_Toc6290"/>
      <w:bookmarkStart w:id="341" w:name="_Toc23157"/>
      <w:bookmarkStart w:id="342" w:name="_Toc10738"/>
      <w:bookmarkStart w:id="343" w:name="_Toc22492"/>
      <w:r>
        <w:rPr>
          <w:rFonts w:hint="eastAsia" w:ascii="仿宋" w:hAnsi="仿宋" w:eastAsia="仿宋" w:cs="仿宋"/>
          <w:b/>
          <w:color w:val="auto"/>
          <w:sz w:val="30"/>
          <w:szCs w:val="30"/>
          <w:highlight w:val="none"/>
          <w:lang w:val="en-US" w:eastAsia="zh-CN"/>
        </w:rPr>
        <w:t>格式16投标人基本情况表</w:t>
      </w:r>
      <w:bookmarkEnd w:id="339"/>
      <w:bookmarkEnd w:id="340"/>
      <w:bookmarkEnd w:id="341"/>
      <w:bookmarkEnd w:id="342"/>
      <w:bookmarkEnd w:id="343"/>
    </w:p>
    <w:p w14:paraId="2644FD07">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投标人基本情况表</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2627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5CDBA13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w:t>
            </w:r>
            <w:r>
              <w:rPr>
                <w:rFonts w:hint="eastAsia" w:ascii="仿宋" w:hAnsi="仿宋" w:eastAsia="仿宋" w:cs="仿宋"/>
                <w:bCs/>
                <w:color w:val="auto"/>
                <w:sz w:val="24"/>
                <w:szCs w:val="24"/>
                <w:highlight w:val="none"/>
              </w:rPr>
              <w:t>名称</w:t>
            </w:r>
          </w:p>
        </w:tc>
        <w:tc>
          <w:tcPr>
            <w:tcW w:w="8069" w:type="dxa"/>
            <w:gridSpan w:val="11"/>
            <w:noWrap w:val="0"/>
            <w:vAlign w:val="center"/>
          </w:tcPr>
          <w:p w14:paraId="24FDD41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5AB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noWrap w:val="0"/>
            <w:vAlign w:val="center"/>
          </w:tcPr>
          <w:p w14:paraId="203C399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注册地址</w:t>
            </w:r>
          </w:p>
        </w:tc>
        <w:tc>
          <w:tcPr>
            <w:tcW w:w="4995" w:type="dxa"/>
            <w:gridSpan w:val="6"/>
            <w:noWrap w:val="0"/>
            <w:vAlign w:val="center"/>
          </w:tcPr>
          <w:p w14:paraId="08308A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3EE4771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邮政编码</w:t>
            </w:r>
          </w:p>
        </w:tc>
        <w:tc>
          <w:tcPr>
            <w:tcW w:w="1478" w:type="dxa"/>
            <w:gridSpan w:val="2"/>
            <w:noWrap w:val="0"/>
            <w:vAlign w:val="center"/>
          </w:tcPr>
          <w:p w14:paraId="661B156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DFD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noWrap w:val="0"/>
            <w:vAlign w:val="center"/>
          </w:tcPr>
          <w:p w14:paraId="45C493F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联系方式</w:t>
            </w:r>
          </w:p>
        </w:tc>
        <w:tc>
          <w:tcPr>
            <w:tcW w:w="1153" w:type="dxa"/>
            <w:noWrap w:val="0"/>
            <w:vAlign w:val="center"/>
          </w:tcPr>
          <w:p w14:paraId="3DC592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p>
        </w:tc>
        <w:tc>
          <w:tcPr>
            <w:tcW w:w="3842" w:type="dxa"/>
            <w:gridSpan w:val="5"/>
            <w:noWrap w:val="0"/>
            <w:vAlign w:val="center"/>
          </w:tcPr>
          <w:p w14:paraId="15FD0C7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707E5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478" w:type="dxa"/>
            <w:gridSpan w:val="2"/>
            <w:noWrap w:val="0"/>
            <w:vAlign w:val="center"/>
          </w:tcPr>
          <w:p w14:paraId="75F338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CC9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noWrap w:val="0"/>
            <w:vAlign w:val="center"/>
          </w:tcPr>
          <w:p w14:paraId="707F2E6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153" w:type="dxa"/>
            <w:noWrap w:val="0"/>
            <w:vAlign w:val="center"/>
          </w:tcPr>
          <w:p w14:paraId="3604AE7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传真</w:t>
            </w:r>
          </w:p>
        </w:tc>
        <w:tc>
          <w:tcPr>
            <w:tcW w:w="3842" w:type="dxa"/>
            <w:gridSpan w:val="5"/>
            <w:noWrap w:val="0"/>
            <w:vAlign w:val="center"/>
          </w:tcPr>
          <w:p w14:paraId="7C8BE8C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5C93C7F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网址</w:t>
            </w:r>
          </w:p>
        </w:tc>
        <w:tc>
          <w:tcPr>
            <w:tcW w:w="1478" w:type="dxa"/>
            <w:gridSpan w:val="2"/>
            <w:noWrap w:val="0"/>
            <w:vAlign w:val="center"/>
          </w:tcPr>
          <w:p w14:paraId="31C8FF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F8E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595540C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组织结构</w:t>
            </w:r>
          </w:p>
        </w:tc>
        <w:tc>
          <w:tcPr>
            <w:tcW w:w="8069" w:type="dxa"/>
            <w:gridSpan w:val="11"/>
            <w:noWrap w:val="0"/>
            <w:vAlign w:val="center"/>
          </w:tcPr>
          <w:p w14:paraId="151527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0751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3EA7E9B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投标人规模</w:t>
            </w:r>
          </w:p>
        </w:tc>
        <w:tc>
          <w:tcPr>
            <w:tcW w:w="8069" w:type="dxa"/>
            <w:gridSpan w:val="11"/>
            <w:noWrap w:val="0"/>
            <w:vAlign w:val="center"/>
          </w:tcPr>
          <w:p w14:paraId="12E7D74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6BE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70F8352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投标人性质</w:t>
            </w:r>
          </w:p>
        </w:tc>
        <w:tc>
          <w:tcPr>
            <w:tcW w:w="8069" w:type="dxa"/>
            <w:gridSpan w:val="11"/>
            <w:noWrap w:val="0"/>
            <w:vAlign w:val="center"/>
          </w:tcPr>
          <w:p w14:paraId="52AD091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131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noWrap w:val="0"/>
            <w:vAlign w:val="center"/>
          </w:tcPr>
          <w:p w14:paraId="32963AD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法定代表人</w:t>
            </w:r>
          </w:p>
        </w:tc>
        <w:tc>
          <w:tcPr>
            <w:tcW w:w="1345" w:type="dxa"/>
            <w:gridSpan w:val="2"/>
            <w:noWrap w:val="0"/>
            <w:vAlign w:val="center"/>
          </w:tcPr>
          <w:p w14:paraId="3241AF7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19ACADF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1471A2F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3C1D6ED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3069445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3DFFB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7C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noWrap w:val="0"/>
            <w:vAlign w:val="center"/>
          </w:tcPr>
          <w:p w14:paraId="36716CE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技术负责人</w:t>
            </w:r>
          </w:p>
        </w:tc>
        <w:tc>
          <w:tcPr>
            <w:tcW w:w="1345" w:type="dxa"/>
            <w:gridSpan w:val="2"/>
            <w:noWrap w:val="0"/>
            <w:vAlign w:val="center"/>
          </w:tcPr>
          <w:p w14:paraId="70E1E13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72E189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3BE3E7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1139A5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2C9E4A7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05928E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5C8F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063349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成立时间</w:t>
            </w:r>
          </w:p>
        </w:tc>
        <w:tc>
          <w:tcPr>
            <w:tcW w:w="2690" w:type="dxa"/>
            <w:gridSpan w:val="3"/>
            <w:noWrap w:val="0"/>
            <w:vAlign w:val="center"/>
          </w:tcPr>
          <w:p w14:paraId="1C25388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5379" w:type="dxa"/>
            <w:gridSpan w:val="8"/>
            <w:noWrap w:val="0"/>
            <w:vAlign w:val="center"/>
          </w:tcPr>
          <w:p w14:paraId="05BA4C4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员工总人数：</w:t>
            </w:r>
          </w:p>
        </w:tc>
      </w:tr>
      <w:tr w14:paraId="4009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noWrap w:val="0"/>
            <w:vAlign w:val="center"/>
          </w:tcPr>
          <w:p w14:paraId="185E371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企业资质等级</w:t>
            </w:r>
          </w:p>
        </w:tc>
        <w:tc>
          <w:tcPr>
            <w:tcW w:w="2690" w:type="dxa"/>
            <w:gridSpan w:val="3"/>
            <w:noWrap w:val="0"/>
            <w:vAlign w:val="center"/>
          </w:tcPr>
          <w:p w14:paraId="3C7281E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restart"/>
            <w:noWrap w:val="0"/>
            <w:vAlign w:val="center"/>
          </w:tcPr>
          <w:p w14:paraId="59B72E4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其中</w:t>
            </w:r>
          </w:p>
        </w:tc>
        <w:tc>
          <w:tcPr>
            <w:tcW w:w="1794" w:type="dxa"/>
            <w:gridSpan w:val="3"/>
            <w:noWrap w:val="0"/>
            <w:vAlign w:val="center"/>
          </w:tcPr>
          <w:p w14:paraId="6364518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项目经理</w:t>
            </w:r>
          </w:p>
        </w:tc>
        <w:tc>
          <w:tcPr>
            <w:tcW w:w="1792" w:type="dxa"/>
            <w:gridSpan w:val="3"/>
            <w:noWrap w:val="0"/>
            <w:vAlign w:val="center"/>
          </w:tcPr>
          <w:p w14:paraId="4535AE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602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noWrap w:val="0"/>
            <w:vAlign w:val="center"/>
          </w:tcPr>
          <w:p w14:paraId="685C24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营业执照</w:t>
            </w:r>
            <w:r>
              <w:rPr>
                <w:rFonts w:hint="eastAsia" w:ascii="仿宋" w:hAnsi="仿宋" w:eastAsia="仿宋" w:cs="仿宋"/>
                <w:color w:val="auto"/>
                <w:sz w:val="24"/>
                <w:szCs w:val="24"/>
                <w:highlight w:val="none"/>
              </w:rPr>
              <w:t>号</w:t>
            </w:r>
          </w:p>
        </w:tc>
        <w:tc>
          <w:tcPr>
            <w:tcW w:w="2690" w:type="dxa"/>
            <w:gridSpan w:val="3"/>
            <w:noWrap w:val="0"/>
            <w:vAlign w:val="center"/>
          </w:tcPr>
          <w:p w14:paraId="0FAB6AE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3A4C0FA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5CF36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高级职称人员</w:t>
            </w:r>
          </w:p>
        </w:tc>
        <w:tc>
          <w:tcPr>
            <w:tcW w:w="1792" w:type="dxa"/>
            <w:gridSpan w:val="3"/>
            <w:noWrap w:val="0"/>
            <w:vAlign w:val="center"/>
          </w:tcPr>
          <w:p w14:paraId="2D1B6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247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noWrap w:val="0"/>
            <w:vAlign w:val="center"/>
          </w:tcPr>
          <w:p w14:paraId="362D3A5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注册资金</w:t>
            </w:r>
          </w:p>
        </w:tc>
        <w:tc>
          <w:tcPr>
            <w:tcW w:w="2690" w:type="dxa"/>
            <w:gridSpan w:val="3"/>
            <w:noWrap w:val="0"/>
            <w:vAlign w:val="center"/>
          </w:tcPr>
          <w:p w14:paraId="722B77F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4E75815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022AA8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中级职称人员</w:t>
            </w:r>
          </w:p>
        </w:tc>
        <w:tc>
          <w:tcPr>
            <w:tcW w:w="1792" w:type="dxa"/>
            <w:gridSpan w:val="3"/>
            <w:noWrap w:val="0"/>
            <w:vAlign w:val="center"/>
          </w:tcPr>
          <w:p w14:paraId="252DEF9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0DA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noWrap w:val="0"/>
            <w:vAlign w:val="center"/>
          </w:tcPr>
          <w:p w14:paraId="730325D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开户银行</w:t>
            </w:r>
          </w:p>
        </w:tc>
        <w:tc>
          <w:tcPr>
            <w:tcW w:w="2690" w:type="dxa"/>
            <w:gridSpan w:val="3"/>
            <w:noWrap w:val="0"/>
            <w:vAlign w:val="center"/>
          </w:tcPr>
          <w:p w14:paraId="2F9ABC2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846A59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3074CB6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初级职称人员</w:t>
            </w:r>
          </w:p>
        </w:tc>
        <w:tc>
          <w:tcPr>
            <w:tcW w:w="1792" w:type="dxa"/>
            <w:gridSpan w:val="3"/>
            <w:noWrap w:val="0"/>
            <w:vAlign w:val="center"/>
          </w:tcPr>
          <w:p w14:paraId="0E4336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8A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noWrap w:val="0"/>
            <w:vAlign w:val="center"/>
          </w:tcPr>
          <w:p w14:paraId="44B4D2F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账号</w:t>
            </w:r>
          </w:p>
        </w:tc>
        <w:tc>
          <w:tcPr>
            <w:tcW w:w="2690" w:type="dxa"/>
            <w:gridSpan w:val="3"/>
            <w:noWrap w:val="0"/>
            <w:vAlign w:val="center"/>
          </w:tcPr>
          <w:p w14:paraId="34B711A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372EB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80D524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技工</w:t>
            </w:r>
          </w:p>
        </w:tc>
        <w:tc>
          <w:tcPr>
            <w:tcW w:w="1792" w:type="dxa"/>
            <w:gridSpan w:val="3"/>
            <w:noWrap w:val="0"/>
            <w:vAlign w:val="center"/>
          </w:tcPr>
          <w:p w14:paraId="046D297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25F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noWrap w:val="0"/>
            <w:vAlign w:val="center"/>
          </w:tcPr>
          <w:p w14:paraId="171EF6D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经营范围</w:t>
            </w:r>
          </w:p>
        </w:tc>
        <w:tc>
          <w:tcPr>
            <w:tcW w:w="8069" w:type="dxa"/>
            <w:gridSpan w:val="11"/>
            <w:noWrap w:val="0"/>
            <w:vAlign w:val="center"/>
          </w:tcPr>
          <w:p w14:paraId="4149092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04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noWrap w:val="0"/>
            <w:vAlign w:val="center"/>
          </w:tcPr>
          <w:p w14:paraId="0A86B96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备注</w:t>
            </w:r>
          </w:p>
        </w:tc>
        <w:tc>
          <w:tcPr>
            <w:tcW w:w="8069" w:type="dxa"/>
            <w:gridSpan w:val="11"/>
            <w:noWrap w:val="0"/>
            <w:vAlign w:val="center"/>
          </w:tcPr>
          <w:p w14:paraId="1E5B63C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bl>
    <w:p w14:paraId="1A06CE0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bookmarkStart w:id="344" w:name="_Toc13032"/>
      <w:bookmarkStart w:id="345" w:name="_Toc4340"/>
    </w:p>
    <w:p w14:paraId="3D3A7B51">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1AEC41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bookmarkEnd w:id="344"/>
      <w:bookmarkEnd w:id="345"/>
    </w:p>
    <w:p w14:paraId="3FE6CBA4">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46" w:name="_Toc8043"/>
      <w:bookmarkStart w:id="347" w:name="_Toc28713"/>
      <w:bookmarkStart w:id="348" w:name="_Toc20273"/>
      <w:r>
        <w:rPr>
          <w:rFonts w:hint="eastAsia" w:ascii="仿宋" w:hAnsi="仿宋" w:eastAsia="仿宋" w:cs="仿宋"/>
          <w:b/>
          <w:color w:val="auto"/>
          <w:sz w:val="30"/>
          <w:szCs w:val="30"/>
          <w:highlight w:val="none"/>
          <w:lang w:eastAsia="zh-CN"/>
        </w:rPr>
        <w:br w:type="page"/>
      </w:r>
    </w:p>
    <w:p w14:paraId="4A67D2E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1"/>
        <w:rPr>
          <w:rFonts w:hint="eastAsia" w:ascii="仿宋" w:hAnsi="仿宋" w:eastAsia="仿宋" w:cs="仿宋"/>
          <w:b/>
          <w:color w:val="auto"/>
          <w:sz w:val="30"/>
          <w:szCs w:val="30"/>
          <w:highlight w:val="none"/>
        </w:rPr>
      </w:pPr>
      <w:bookmarkStart w:id="349" w:name="_Toc24906"/>
      <w:bookmarkStart w:id="350" w:name="_Toc19584"/>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17</w:t>
      </w:r>
      <w:r>
        <w:rPr>
          <w:rFonts w:hint="eastAsia" w:ascii="仿宋" w:hAnsi="仿宋" w:eastAsia="仿宋" w:cs="仿宋"/>
          <w:b/>
          <w:color w:val="auto"/>
          <w:sz w:val="30"/>
          <w:szCs w:val="30"/>
          <w:highlight w:val="none"/>
        </w:rPr>
        <w:t>商务应答表</w:t>
      </w:r>
      <w:bookmarkEnd w:id="346"/>
      <w:bookmarkEnd w:id="347"/>
      <w:bookmarkEnd w:id="348"/>
      <w:bookmarkEnd w:id="349"/>
      <w:bookmarkEnd w:id="350"/>
    </w:p>
    <w:p w14:paraId="0BA8C310">
      <w:pPr>
        <w:keepNext w:val="0"/>
        <w:keepLines w:val="0"/>
        <w:pageBreakBefore w:val="0"/>
        <w:widowControl w:val="0"/>
        <w:kinsoku/>
        <w:wordWrap/>
        <w:overflowPunct/>
        <w:topLinePunct w:val="0"/>
        <w:autoSpaceDE/>
        <w:autoSpaceDN/>
        <w:bidi w:val="0"/>
        <w:snapToGrid/>
        <w:spacing w:after="0" w:line="360" w:lineRule="auto"/>
        <w:ind w:firstLine="562" w:firstLineChars="200"/>
        <w:jc w:val="center"/>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商务应答表</w:t>
      </w:r>
    </w:p>
    <w:p w14:paraId="21E59C2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w:t>
      </w:r>
    </w:p>
    <w:p w14:paraId="0EA098F6">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1246AF78">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招标包号：</w:t>
      </w:r>
    </w:p>
    <w:tbl>
      <w:tblPr>
        <w:tblStyle w:val="32"/>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889"/>
        <w:gridCol w:w="4681"/>
      </w:tblGrid>
      <w:tr w14:paraId="6237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0" w:hRule="atLeast"/>
        </w:trPr>
        <w:tc>
          <w:tcPr>
            <w:tcW w:w="1228" w:type="dxa"/>
            <w:noWrap w:val="0"/>
            <w:vAlign w:val="center"/>
          </w:tcPr>
          <w:p w14:paraId="1F6B33F4">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b w:val="0"/>
                <w:bCs/>
                <w:color w:val="auto"/>
                <w:kern w:val="0"/>
                <w:sz w:val="24"/>
                <w:szCs w:val="24"/>
                <w:highlight w:val="none"/>
              </w:rPr>
              <w:t>序号</w:t>
            </w:r>
          </w:p>
        </w:tc>
        <w:tc>
          <w:tcPr>
            <w:tcW w:w="3889" w:type="dxa"/>
            <w:noWrap w:val="0"/>
            <w:vAlign w:val="center"/>
          </w:tcPr>
          <w:p w14:paraId="0A2F12F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0C18A8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4681" w:type="dxa"/>
            <w:noWrap w:val="0"/>
            <w:vAlign w:val="center"/>
          </w:tcPr>
          <w:p w14:paraId="179E187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146A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6B779259">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3889" w:type="dxa"/>
            <w:noWrap w:val="0"/>
            <w:vAlign w:val="center"/>
          </w:tcPr>
          <w:p w14:paraId="6292165E">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4483A2C">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68FC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79030044">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3889" w:type="dxa"/>
            <w:noWrap w:val="0"/>
            <w:vAlign w:val="center"/>
          </w:tcPr>
          <w:p w14:paraId="0C48D309">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FAE2BE8">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59A2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5D30BD42">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3889" w:type="dxa"/>
            <w:noWrap w:val="0"/>
            <w:vAlign w:val="center"/>
          </w:tcPr>
          <w:p w14:paraId="4875B198">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6ADF34B3">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242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trPr>
        <w:tc>
          <w:tcPr>
            <w:tcW w:w="1228" w:type="dxa"/>
            <w:noWrap w:val="0"/>
            <w:vAlign w:val="center"/>
          </w:tcPr>
          <w:p w14:paraId="2698D3B9">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3889" w:type="dxa"/>
            <w:noWrap w:val="0"/>
            <w:vAlign w:val="center"/>
          </w:tcPr>
          <w:p w14:paraId="123F104E">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4788F6AA">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E32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8" w:type="dxa"/>
            <w:noWrap w:val="0"/>
            <w:vAlign w:val="center"/>
          </w:tcPr>
          <w:p w14:paraId="3AF3973E">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3889" w:type="dxa"/>
            <w:noWrap w:val="0"/>
            <w:vAlign w:val="center"/>
          </w:tcPr>
          <w:p w14:paraId="30B67CE4">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714CBC2D">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bl>
    <w:p w14:paraId="14834997">
      <w:pPr>
        <w:keepNext w:val="0"/>
        <w:keepLines w:val="0"/>
        <w:pageBreakBefore w:val="0"/>
        <w:widowControl w:val="0"/>
        <w:kinsoku/>
        <w:wordWrap/>
        <w:overflowPunct/>
        <w:topLinePunct w:val="0"/>
        <w:autoSpaceDE/>
        <w:autoSpaceDN/>
        <w:bidi w:val="0"/>
        <w:snapToGrid/>
        <w:spacing w:after="0"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必须据实填写，不得虚假响应，虚假响应的，其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43F333F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 w:hAnsi="仿宋" w:eastAsia="仿宋" w:cs="仿宋"/>
          <w:color w:val="auto"/>
          <w:sz w:val="24"/>
          <w:szCs w:val="24"/>
          <w:highlight w:val="none"/>
        </w:rPr>
      </w:pPr>
    </w:p>
    <w:p w14:paraId="558F1DD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543CBE46">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sectPr>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325"/>
    <w:bookmarkEnd w:id="326"/>
    <w:bookmarkEnd w:id="327"/>
    <w:bookmarkEnd w:id="328"/>
    <w:bookmarkEnd w:id="329"/>
    <w:bookmarkEnd w:id="330"/>
    <w:p w14:paraId="1C81D0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bCs/>
          <w:color w:val="auto"/>
          <w:sz w:val="30"/>
          <w:szCs w:val="30"/>
          <w:highlight w:val="none"/>
          <w:lang w:val="en-US" w:eastAsia="zh-CN"/>
        </w:rPr>
      </w:pPr>
      <w:bookmarkStart w:id="351" w:name="_Toc29967"/>
      <w:bookmarkStart w:id="352" w:name="_Toc20774"/>
      <w:bookmarkStart w:id="353" w:name="_Toc14680"/>
      <w:bookmarkStart w:id="354" w:name="_Toc18487"/>
      <w:bookmarkStart w:id="355" w:name="_Toc3455"/>
      <w:bookmarkStart w:id="356" w:name="_Toc19845"/>
      <w:bookmarkStart w:id="357" w:name="_Toc2648"/>
      <w:bookmarkStart w:id="358" w:name="_Toc17970"/>
      <w:bookmarkStart w:id="359" w:name="_Toc8272"/>
      <w:bookmarkStart w:id="360" w:name="_Toc31518"/>
      <w:bookmarkStart w:id="361" w:name="_Toc11398"/>
      <w:bookmarkStart w:id="362" w:name="_Toc14174"/>
      <w:bookmarkStart w:id="363" w:name="_Toc300"/>
      <w:bookmarkStart w:id="364" w:name="_Toc14946"/>
      <w:bookmarkStart w:id="365" w:name="_Toc215"/>
      <w:r>
        <w:rPr>
          <w:rFonts w:hint="eastAsia" w:ascii="仿宋" w:hAnsi="仿宋" w:eastAsia="仿宋" w:cs="仿宋"/>
          <w:b/>
          <w:bCs/>
          <w:color w:val="auto"/>
          <w:sz w:val="30"/>
          <w:szCs w:val="30"/>
          <w:highlight w:val="none"/>
          <w:lang w:eastAsia="zh-CN"/>
        </w:rPr>
        <w:t>格式</w:t>
      </w:r>
      <w:r>
        <w:rPr>
          <w:rFonts w:hint="eastAsia" w:ascii="仿宋" w:hAnsi="仿宋" w:eastAsia="仿宋" w:cs="仿宋"/>
          <w:b/>
          <w:bCs/>
          <w:color w:val="auto"/>
          <w:sz w:val="30"/>
          <w:szCs w:val="30"/>
          <w:highlight w:val="none"/>
          <w:lang w:val="en-US" w:eastAsia="zh-CN"/>
        </w:rPr>
        <w:t>18投标人类似项目业绩一览表</w:t>
      </w:r>
      <w:bookmarkEnd w:id="351"/>
      <w:bookmarkEnd w:id="352"/>
      <w:bookmarkEnd w:id="353"/>
      <w:bookmarkEnd w:id="354"/>
      <w:bookmarkEnd w:id="355"/>
      <w:bookmarkEnd w:id="356"/>
      <w:bookmarkEnd w:id="357"/>
    </w:p>
    <w:p w14:paraId="625248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投标人类似项目业绩一览表</w:t>
      </w:r>
    </w:p>
    <w:tbl>
      <w:tblPr>
        <w:tblStyle w:val="32"/>
        <w:tblW w:w="96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66"/>
        <w:gridCol w:w="1732"/>
        <w:gridCol w:w="1587"/>
        <w:gridCol w:w="1397"/>
        <w:gridCol w:w="1371"/>
        <w:gridCol w:w="1904"/>
        <w:gridCol w:w="833"/>
      </w:tblGrid>
      <w:tr w14:paraId="75D637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top w:val="single" w:color="auto" w:sz="4" w:space="0"/>
            </w:tcBorders>
            <w:noWrap w:val="0"/>
            <w:vAlign w:val="center"/>
          </w:tcPr>
          <w:p w14:paraId="1E291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年份</w:t>
            </w:r>
          </w:p>
        </w:tc>
        <w:tc>
          <w:tcPr>
            <w:tcW w:w="1732" w:type="dxa"/>
            <w:noWrap w:val="0"/>
            <w:vAlign w:val="center"/>
          </w:tcPr>
          <w:p w14:paraId="0DCB46C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用户名称</w:t>
            </w:r>
          </w:p>
        </w:tc>
        <w:tc>
          <w:tcPr>
            <w:tcW w:w="1587" w:type="dxa"/>
            <w:noWrap w:val="0"/>
            <w:vAlign w:val="center"/>
          </w:tcPr>
          <w:p w14:paraId="0657D5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招标名称</w:t>
            </w:r>
          </w:p>
        </w:tc>
        <w:tc>
          <w:tcPr>
            <w:tcW w:w="1397" w:type="dxa"/>
            <w:noWrap w:val="0"/>
            <w:vAlign w:val="center"/>
          </w:tcPr>
          <w:p w14:paraId="2C952A8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完成时间</w:t>
            </w:r>
          </w:p>
        </w:tc>
        <w:tc>
          <w:tcPr>
            <w:tcW w:w="1371" w:type="dxa"/>
            <w:noWrap w:val="0"/>
            <w:vAlign w:val="center"/>
          </w:tcPr>
          <w:p w14:paraId="61A24E9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合同金额</w:t>
            </w:r>
          </w:p>
        </w:tc>
        <w:tc>
          <w:tcPr>
            <w:tcW w:w="1904" w:type="dxa"/>
            <w:tcBorders>
              <w:right w:val="single" w:color="auto" w:sz="4" w:space="0"/>
            </w:tcBorders>
            <w:noWrap w:val="0"/>
            <w:vAlign w:val="center"/>
          </w:tcPr>
          <w:p w14:paraId="0A0C7E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是否通过验收</w:t>
            </w:r>
          </w:p>
        </w:tc>
        <w:tc>
          <w:tcPr>
            <w:tcW w:w="833" w:type="dxa"/>
            <w:tcBorders>
              <w:left w:val="single" w:color="auto" w:sz="4" w:space="0"/>
            </w:tcBorders>
            <w:noWrap w:val="0"/>
            <w:vAlign w:val="center"/>
          </w:tcPr>
          <w:p w14:paraId="1BC1AA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7E167B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0A8A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5D84472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048CC5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0DF9696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460DB2E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EEA28D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2EB845B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2310D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4C6930B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421E4C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23D6EA5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23D3DB2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234D1F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136113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9DD68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69F84A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FCAA9E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074B61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FBEAE8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59F4332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5BF87CA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7A13617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4B6E075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549015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0D25FFA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right w:val="single" w:color="auto" w:sz="4" w:space="0"/>
            </w:tcBorders>
            <w:noWrap w:val="0"/>
            <w:vAlign w:val="center"/>
          </w:tcPr>
          <w:p w14:paraId="5A247B3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tcBorders>
            <w:noWrap w:val="0"/>
            <w:vAlign w:val="center"/>
          </w:tcPr>
          <w:p w14:paraId="67FC5D7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E2C86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0BDE8A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B6FA30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9A19A2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252FEF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right w:val="single" w:color="auto" w:sz="4" w:space="0"/>
            </w:tcBorders>
            <w:noWrap w:val="0"/>
            <w:vAlign w:val="center"/>
          </w:tcPr>
          <w:p w14:paraId="76B3F5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left w:val="single" w:color="auto" w:sz="4" w:space="0"/>
              <w:right w:val="single" w:color="auto" w:sz="4" w:space="0"/>
            </w:tcBorders>
            <w:noWrap w:val="0"/>
            <w:vAlign w:val="center"/>
          </w:tcPr>
          <w:p w14:paraId="658445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right w:val="single" w:color="auto" w:sz="4" w:space="0"/>
            </w:tcBorders>
            <w:noWrap w:val="0"/>
            <w:vAlign w:val="center"/>
          </w:tcPr>
          <w:p w14:paraId="0A6489C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left w:val="single" w:color="auto" w:sz="4" w:space="0"/>
              <w:right w:val="single" w:color="auto" w:sz="4" w:space="0"/>
            </w:tcBorders>
            <w:noWrap w:val="0"/>
            <w:vAlign w:val="center"/>
          </w:tcPr>
          <w:p w14:paraId="17C78A7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left w:val="single" w:color="auto" w:sz="4" w:space="0"/>
              <w:right w:val="single" w:color="auto" w:sz="4" w:space="0"/>
            </w:tcBorders>
            <w:noWrap w:val="0"/>
            <w:vAlign w:val="center"/>
          </w:tcPr>
          <w:p w14:paraId="23029F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351F6C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60F08E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8E54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6807B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1DF1404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A9FBA7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244549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2055B08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6776DC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3D047BC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EB19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32B9E78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56539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7C9201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307E5C7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956B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21C4F3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2F3E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D6529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A3E4EA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61C1755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DE008F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8F31C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10311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4F83D34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48530B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89479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866" w:type="dxa"/>
            <w:tcBorders>
              <w:bottom w:val="single" w:color="auto" w:sz="4" w:space="0"/>
            </w:tcBorders>
            <w:noWrap w:val="0"/>
            <w:vAlign w:val="center"/>
          </w:tcPr>
          <w:p w14:paraId="102201D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bottom w:val="single" w:color="auto" w:sz="4" w:space="0"/>
            </w:tcBorders>
            <w:noWrap w:val="0"/>
            <w:vAlign w:val="center"/>
          </w:tcPr>
          <w:p w14:paraId="61C31A4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bottom w:val="single" w:color="auto" w:sz="4" w:space="0"/>
            </w:tcBorders>
            <w:noWrap w:val="0"/>
            <w:vAlign w:val="center"/>
          </w:tcPr>
          <w:p w14:paraId="429E58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bottom w:val="single" w:color="auto" w:sz="4" w:space="0"/>
            </w:tcBorders>
            <w:noWrap w:val="0"/>
            <w:vAlign w:val="center"/>
          </w:tcPr>
          <w:p w14:paraId="353B17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bottom w:val="single" w:color="auto" w:sz="4" w:space="0"/>
              <w:right w:val="single" w:color="auto" w:sz="4" w:space="0"/>
            </w:tcBorders>
            <w:noWrap w:val="0"/>
            <w:vAlign w:val="center"/>
          </w:tcPr>
          <w:p w14:paraId="602698E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bottom w:val="single" w:color="auto" w:sz="4" w:space="0"/>
              <w:right w:val="single" w:color="auto" w:sz="4" w:space="0"/>
            </w:tcBorders>
            <w:noWrap w:val="0"/>
            <w:vAlign w:val="center"/>
          </w:tcPr>
          <w:p w14:paraId="54B7512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bottom w:val="single" w:color="auto" w:sz="4" w:space="0"/>
            </w:tcBorders>
            <w:noWrap w:val="0"/>
            <w:vAlign w:val="center"/>
          </w:tcPr>
          <w:p w14:paraId="5A7F3C0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3C7B8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19D9ED2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53B3A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0679C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3786689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4738586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D668B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2E182F1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37CC4B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374AA2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7CE96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D81DF5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2312A5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0257981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0C757F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459324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200AA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trPr>
        <w:tc>
          <w:tcPr>
            <w:tcW w:w="866" w:type="dxa"/>
            <w:tcBorders>
              <w:top w:val="single" w:color="auto" w:sz="4" w:space="0"/>
              <w:bottom w:val="single" w:color="auto" w:sz="4" w:space="0"/>
            </w:tcBorders>
            <w:noWrap w:val="0"/>
            <w:vAlign w:val="center"/>
          </w:tcPr>
          <w:p w14:paraId="7C4A5BA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7330092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2927178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797E8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67E64B5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20B695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0609391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051B23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trPr>
        <w:tc>
          <w:tcPr>
            <w:tcW w:w="866" w:type="dxa"/>
            <w:tcBorders>
              <w:top w:val="single" w:color="auto" w:sz="4" w:space="0"/>
            </w:tcBorders>
            <w:noWrap w:val="0"/>
            <w:vAlign w:val="center"/>
          </w:tcPr>
          <w:p w14:paraId="30C32D0B">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tcBorders>
            <w:noWrap w:val="0"/>
            <w:vAlign w:val="center"/>
          </w:tcPr>
          <w:p w14:paraId="7E6A38A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tcBorders>
            <w:noWrap w:val="0"/>
            <w:vAlign w:val="center"/>
          </w:tcPr>
          <w:p w14:paraId="470AA9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tcBorders>
            <w:noWrap w:val="0"/>
            <w:vAlign w:val="center"/>
          </w:tcPr>
          <w:p w14:paraId="730CAF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right w:val="single" w:color="auto" w:sz="4" w:space="0"/>
            </w:tcBorders>
            <w:noWrap w:val="0"/>
            <w:vAlign w:val="center"/>
          </w:tcPr>
          <w:p w14:paraId="12FA112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right w:val="single" w:color="auto" w:sz="4" w:space="0"/>
            </w:tcBorders>
            <w:noWrap w:val="0"/>
            <w:vAlign w:val="center"/>
          </w:tcPr>
          <w:p w14:paraId="70C72F3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tcBorders>
            <w:noWrap w:val="0"/>
            <w:vAlign w:val="center"/>
          </w:tcPr>
          <w:p w14:paraId="5F559C7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bl>
    <w:p w14:paraId="444BEB9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注：投标人（仅限于投标人自己实施的）以上业绩需提供有关书面证明材料。</w:t>
      </w:r>
    </w:p>
    <w:p w14:paraId="013A1F7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0C311925">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223E5F6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34E25A">
      <w:pPr>
        <w:pStyle w:val="12"/>
        <w:rPr>
          <w:rFonts w:hint="eastAsia" w:ascii="仿宋" w:hAnsi="仿宋" w:eastAsia="仿宋" w:cs="仿宋"/>
          <w:color w:val="auto"/>
          <w:sz w:val="24"/>
          <w:highlight w:val="none"/>
        </w:rPr>
      </w:pPr>
    </w:p>
    <w:p w14:paraId="19F46FAB">
      <w:pPr>
        <w:pStyle w:val="13"/>
        <w:rPr>
          <w:rFonts w:hint="eastAsia" w:ascii="仿宋" w:hAnsi="仿宋" w:eastAsia="仿宋" w:cs="仿宋"/>
          <w:color w:val="auto"/>
          <w:sz w:val="24"/>
          <w:highlight w:val="none"/>
        </w:rPr>
      </w:pPr>
    </w:p>
    <w:p w14:paraId="4C08BCAF">
      <w:pPr>
        <w:pStyle w:val="13"/>
        <w:rPr>
          <w:rFonts w:hint="eastAsia" w:ascii="仿宋" w:hAnsi="仿宋" w:eastAsia="仿宋" w:cs="仿宋"/>
          <w:color w:val="auto"/>
          <w:sz w:val="24"/>
          <w:highlight w:val="none"/>
        </w:rPr>
      </w:pPr>
    </w:p>
    <w:p w14:paraId="34342D19">
      <w:pPr>
        <w:rPr>
          <w:rFonts w:hint="eastAsia" w:ascii="仿宋" w:hAnsi="仿宋" w:eastAsia="仿宋" w:cs="仿宋"/>
          <w:b/>
          <w:color w:val="auto"/>
          <w:spacing w:val="6"/>
          <w:kern w:val="2"/>
          <w:sz w:val="30"/>
          <w:szCs w:val="30"/>
          <w:highlight w:val="none"/>
          <w:lang w:val="en-US" w:eastAsia="zh-CN" w:bidi="ar-SA"/>
        </w:rPr>
      </w:pPr>
      <w:bookmarkStart w:id="366" w:name="_Toc463"/>
      <w:r>
        <w:rPr>
          <w:rFonts w:hint="eastAsia" w:ascii="仿宋" w:hAnsi="仿宋" w:eastAsia="仿宋" w:cs="仿宋"/>
          <w:b/>
          <w:color w:val="auto"/>
          <w:spacing w:val="6"/>
          <w:kern w:val="2"/>
          <w:sz w:val="30"/>
          <w:szCs w:val="30"/>
          <w:highlight w:val="none"/>
          <w:lang w:val="en-US" w:eastAsia="zh-CN" w:bidi="ar-SA"/>
        </w:rPr>
        <w:br w:type="page"/>
      </w:r>
    </w:p>
    <w:bookmarkEnd w:id="176"/>
    <w:bookmarkEnd w:id="182"/>
    <w:bookmarkEnd w:id="183"/>
    <w:bookmarkEnd w:id="187"/>
    <w:bookmarkEnd w:id="358"/>
    <w:bookmarkEnd w:id="359"/>
    <w:bookmarkEnd w:id="360"/>
    <w:bookmarkEnd w:id="361"/>
    <w:bookmarkEnd w:id="362"/>
    <w:bookmarkEnd w:id="363"/>
    <w:bookmarkEnd w:id="364"/>
    <w:bookmarkEnd w:id="365"/>
    <w:bookmarkEnd w:id="366"/>
    <w:p w14:paraId="673A2FB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367" w:name="_Toc28654"/>
      <w:bookmarkStart w:id="368" w:name="_Toc28495"/>
      <w:bookmarkStart w:id="369" w:name="_Toc79959379"/>
      <w:bookmarkStart w:id="370" w:name="_Toc16931"/>
      <w:bookmarkStart w:id="371" w:name="_Toc29555"/>
      <w:bookmarkStart w:id="372" w:name="PO_默认文件内容_26"/>
      <w:r>
        <w:rPr>
          <w:rFonts w:hint="eastAsia" w:ascii="仿宋" w:hAnsi="仿宋" w:eastAsia="仿宋" w:cs="Times New Roman"/>
          <w:b/>
          <w:bCs/>
          <w:color w:val="auto"/>
          <w:sz w:val="36"/>
          <w:szCs w:val="36"/>
        </w:rPr>
        <w:t xml:space="preserve">第四章  </w:t>
      </w:r>
      <w:bookmarkEnd w:id="367"/>
      <w:bookmarkEnd w:id="368"/>
      <w:bookmarkEnd w:id="369"/>
      <w:r>
        <w:rPr>
          <w:rFonts w:hint="eastAsia" w:ascii="仿宋" w:hAnsi="仿宋" w:eastAsia="仿宋" w:cs="Times New Roman"/>
          <w:b/>
          <w:bCs/>
          <w:color w:val="auto"/>
          <w:sz w:val="36"/>
          <w:szCs w:val="36"/>
        </w:rPr>
        <w:t>投标人的资格、资质性及其他类似效力要求</w:t>
      </w:r>
      <w:bookmarkEnd w:id="370"/>
      <w:bookmarkEnd w:id="371"/>
    </w:p>
    <w:p w14:paraId="0577896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73" w:name="_Toc12914"/>
      <w:bookmarkStart w:id="374" w:name="_Toc79959380"/>
      <w:bookmarkStart w:id="375" w:name="_Toc11886"/>
      <w:r>
        <w:rPr>
          <w:rFonts w:hint="eastAsia" w:ascii="仿宋" w:hAnsi="仿宋" w:eastAsia="仿宋"/>
          <w:b/>
          <w:bCs/>
          <w:color w:val="auto"/>
          <w:sz w:val="28"/>
          <w:szCs w:val="28"/>
        </w:rPr>
        <w:t>一、投标人资格、资质性要求</w:t>
      </w:r>
      <w:bookmarkEnd w:id="373"/>
      <w:bookmarkEnd w:id="374"/>
      <w:r>
        <w:rPr>
          <w:rFonts w:hint="eastAsia" w:ascii="仿宋" w:hAnsi="仿宋" w:eastAsia="仿宋"/>
          <w:b/>
          <w:bCs/>
          <w:color w:val="auto"/>
          <w:sz w:val="28"/>
          <w:szCs w:val="28"/>
          <w:lang w:eastAsia="zh-CN"/>
        </w:rPr>
        <w:t>（</w:t>
      </w:r>
      <w:r>
        <w:rPr>
          <w:rFonts w:hint="eastAsia" w:ascii="仿宋" w:hAnsi="仿宋" w:eastAsia="仿宋"/>
          <w:b/>
          <w:bCs/>
          <w:color w:val="auto"/>
          <w:sz w:val="28"/>
          <w:szCs w:val="28"/>
          <w:lang w:val="en-US" w:eastAsia="zh-CN"/>
        </w:rPr>
        <w:t>各包相同</w:t>
      </w:r>
      <w:r>
        <w:rPr>
          <w:rFonts w:hint="eastAsia" w:ascii="仿宋" w:hAnsi="仿宋" w:eastAsia="仿宋"/>
          <w:b/>
          <w:bCs/>
          <w:color w:val="auto"/>
          <w:sz w:val="28"/>
          <w:szCs w:val="28"/>
          <w:lang w:eastAsia="zh-CN"/>
        </w:rPr>
        <w:t>）</w:t>
      </w:r>
      <w:bookmarkEnd w:id="375"/>
    </w:p>
    <w:p w14:paraId="75B2233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1、具有独立承担民事责任的能力</w:t>
      </w:r>
      <w:r>
        <w:rPr>
          <w:rFonts w:ascii="仿宋" w:hAnsi="仿宋"/>
          <w:color w:val="auto"/>
        </w:rPr>
        <w:t>；</w:t>
      </w:r>
    </w:p>
    <w:p w14:paraId="421006D1">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2、具有良好的商业信誉和健全的财务会计制度；</w:t>
      </w:r>
    </w:p>
    <w:p w14:paraId="79C3142E">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3、具有履行合同所必</w:t>
      </w:r>
      <w:r>
        <w:rPr>
          <w:rFonts w:hint="eastAsia" w:ascii="仿宋" w:hAnsi="仿宋" w:eastAsia="仿宋"/>
          <w:color w:val="auto"/>
          <w:sz w:val="24"/>
          <w:lang w:eastAsia="zh-CN"/>
        </w:rPr>
        <w:t>需</w:t>
      </w:r>
      <w:r>
        <w:rPr>
          <w:rFonts w:hint="eastAsia" w:ascii="仿宋" w:hAnsi="仿宋" w:eastAsia="仿宋"/>
          <w:color w:val="auto"/>
          <w:sz w:val="24"/>
        </w:rPr>
        <w:t>的设备和专业技术能力；</w:t>
      </w:r>
    </w:p>
    <w:p w14:paraId="7F5BD31A">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4、具有依法缴纳税收和社会保障资金的良好记录；</w:t>
      </w:r>
    </w:p>
    <w:p w14:paraId="261EBEC5">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p>
    <w:p w14:paraId="339CFB23">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6、法律、行政法规规定的其他条件；</w:t>
      </w:r>
    </w:p>
    <w:p w14:paraId="0DC10E30">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eastAsia="仿宋" w:cs="宋体"/>
          <w:color w:val="auto"/>
          <w:lang w:eastAsia="zh-CN"/>
        </w:rPr>
      </w:pPr>
      <w:r>
        <w:rPr>
          <w:rFonts w:hint="eastAsia" w:ascii="仿宋" w:hAnsi="仿宋" w:cs="宋体"/>
          <w:color w:val="auto"/>
        </w:rPr>
        <w:t>7、</w:t>
      </w:r>
      <w:r>
        <w:rPr>
          <w:rFonts w:hint="eastAsia" w:ascii="仿宋" w:hAnsi="仿宋" w:eastAsia="仿宋"/>
          <w:b w:val="0"/>
          <w:bCs w:val="0"/>
          <w:color w:val="auto"/>
          <w:sz w:val="24"/>
          <w:highlight w:val="none"/>
          <w:lang w:val="en-US" w:eastAsia="zh-CN"/>
        </w:rPr>
        <w:t>本项目的特殊资质性要求：（各包相同）</w:t>
      </w:r>
    </w:p>
    <w:p w14:paraId="41F210E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76" w:name="_Toc22941"/>
      <w:bookmarkStart w:id="377" w:name="_Toc25072"/>
      <w:bookmarkStart w:id="378" w:name="_Toc1904"/>
      <w:bookmarkStart w:id="379" w:name="_Toc18626"/>
      <w:bookmarkStart w:id="380" w:name="_Toc20398"/>
      <w:bookmarkStart w:id="381" w:name="_Toc2564"/>
      <w:r>
        <w:rPr>
          <w:rFonts w:hint="eastAsia" w:ascii="仿宋" w:hAnsi="仿宋" w:eastAsia="仿宋" w:cs="Times New Roman"/>
          <w:b w:val="0"/>
          <w:bCs w:val="0"/>
          <w:color w:val="auto"/>
          <w:sz w:val="24"/>
          <w:szCs w:val="24"/>
          <w:lang w:val="en-US" w:eastAsia="zh-CN"/>
        </w:rPr>
        <w:t>（1）投标产品为医疗器械时，三类医疗器械：须具有投标人的《医疗器械经营许可证》复印件；二类医疗器械：须具有投标人的医疗器械经营备案凭证复印件；一类医疗器械可不提供。（根据国办发【2017】41号政策要求“多证合一”的营业执照除外）</w:t>
      </w:r>
    </w:p>
    <w:p w14:paraId="3EA626A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(2)需具有相关的资质：销售厂家营业执照、医疗器械经营许可证、生产厂家营业执照、医疗器械生产许可证、产品注册证或者备案文件、产品宣传彩页或者其他证明文件。</w:t>
      </w:r>
    </w:p>
    <w:p w14:paraId="7A26EC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(3)需具有合法进货渠道证明的相关文件和国家要求相关耗材资质。</w:t>
      </w:r>
    </w:p>
    <w:p w14:paraId="516586B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具有产品制造商对投标产品的授权，或具有授权权限的代理商对投标产品的授权（且需提供该代理商具有有效授权权限的相关证明文件，证明文件需能显示产品制造商对投标产品授权链条的完整性）。</w:t>
      </w:r>
    </w:p>
    <w:p w14:paraId="441130F6">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lang w:eastAsia="zh-CN"/>
        </w:rPr>
      </w:pPr>
      <w:bookmarkStart w:id="382" w:name="_Toc16396"/>
      <w:r>
        <w:rPr>
          <w:rFonts w:hint="eastAsia" w:ascii="仿宋" w:hAnsi="仿宋" w:eastAsia="仿宋" w:cs="Times New Roman"/>
          <w:b/>
          <w:bCs/>
          <w:color w:val="auto"/>
          <w:sz w:val="28"/>
          <w:szCs w:val="28"/>
          <w:lang w:eastAsia="zh-CN"/>
        </w:rPr>
        <w:t>二、投标人其他类似效力要求</w:t>
      </w:r>
      <w:bookmarkEnd w:id="376"/>
      <w:bookmarkEnd w:id="377"/>
      <w:bookmarkEnd w:id="378"/>
      <w:bookmarkEnd w:id="379"/>
      <w:bookmarkEnd w:id="380"/>
      <w:bookmarkEnd w:id="381"/>
      <w:bookmarkEnd w:id="382"/>
    </w:p>
    <w:p w14:paraId="3FD6994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val="en-US" w:eastAsia="zh-CN"/>
        </w:rPr>
      </w:pPr>
      <w:r>
        <w:rPr>
          <w:rFonts w:hint="eastAsia" w:ascii="仿宋" w:hAnsi="仿宋"/>
          <w:color w:val="auto"/>
          <w:sz w:val="24"/>
          <w:highlight w:val="none"/>
          <w:lang w:val="en-US" w:eastAsia="zh-CN"/>
        </w:rPr>
        <w:t>1、</w:t>
      </w:r>
      <w:r>
        <w:rPr>
          <w:rFonts w:hint="eastAsia" w:ascii="仿宋" w:hAnsi="仿宋" w:cs="宋体"/>
          <w:color w:val="auto"/>
          <w:lang w:val="en-US" w:eastAsia="zh-CN"/>
        </w:rPr>
        <w:t>按照规定获取了招标文件。</w:t>
      </w:r>
    </w:p>
    <w:p w14:paraId="7EA976C8">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226E22A9">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b/>
          <w:color w:val="auto"/>
        </w:rPr>
      </w:pPr>
    </w:p>
    <w:p w14:paraId="3349F058">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ascii="仿宋" w:hAnsi="仿宋" w:eastAsia="仿宋"/>
          <w:color w:val="auto"/>
          <w:sz w:val="36"/>
          <w:szCs w:val="36"/>
        </w:rPr>
      </w:pPr>
      <w:bookmarkStart w:id="383" w:name="_Toc3806"/>
      <w:bookmarkStart w:id="384" w:name="_Toc1588"/>
      <w:r>
        <w:rPr>
          <w:rFonts w:hint="eastAsia" w:ascii="仿宋" w:hAnsi="仿宋" w:eastAsia="仿宋"/>
          <w:color w:val="auto"/>
          <w:sz w:val="36"/>
          <w:szCs w:val="36"/>
        </w:rPr>
        <w:br w:type="page"/>
      </w:r>
      <w:bookmarkStart w:id="385" w:name="_Toc3024"/>
      <w:bookmarkStart w:id="386" w:name="_Toc4912"/>
      <w:r>
        <w:rPr>
          <w:rFonts w:hint="eastAsia" w:ascii="仿宋" w:hAnsi="仿宋" w:eastAsia="仿宋" w:cs="Times New Roman"/>
          <w:b/>
          <w:bCs/>
          <w:color w:val="auto"/>
          <w:sz w:val="36"/>
          <w:szCs w:val="36"/>
        </w:rPr>
        <w:t xml:space="preserve">第五章  </w:t>
      </w:r>
      <w:bookmarkEnd w:id="383"/>
      <w:bookmarkEnd w:id="384"/>
      <w:r>
        <w:rPr>
          <w:rFonts w:hint="eastAsia" w:ascii="仿宋" w:hAnsi="仿宋" w:eastAsia="仿宋" w:cs="仿宋"/>
          <w:b/>
          <w:bCs w:val="0"/>
          <w:color w:val="auto"/>
          <w:kern w:val="44"/>
          <w:sz w:val="36"/>
          <w:szCs w:val="44"/>
          <w:highlight w:val="none"/>
          <w:lang w:val="en-US" w:eastAsia="zh-CN" w:bidi="ar-SA"/>
        </w:rPr>
        <w:t>投标人应当提供的资格、资质性及其他类似效力要求的相关证明材料</w:t>
      </w:r>
      <w:bookmarkEnd w:id="385"/>
      <w:bookmarkEnd w:id="386"/>
    </w:p>
    <w:p w14:paraId="6D48E20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87" w:name="_Toc79959383"/>
      <w:bookmarkStart w:id="388" w:name="_Toc15770"/>
      <w:bookmarkStart w:id="389" w:name="_Toc21175"/>
      <w:r>
        <w:rPr>
          <w:rFonts w:hint="eastAsia" w:ascii="仿宋" w:hAnsi="仿宋" w:eastAsia="仿宋"/>
          <w:b/>
          <w:bCs/>
          <w:color w:val="auto"/>
          <w:sz w:val="28"/>
          <w:szCs w:val="28"/>
        </w:rPr>
        <w:t>一、</w:t>
      </w:r>
      <w:bookmarkEnd w:id="387"/>
      <w:r>
        <w:rPr>
          <w:rFonts w:hint="eastAsia" w:ascii="仿宋" w:hAnsi="仿宋" w:eastAsia="仿宋"/>
          <w:b/>
          <w:bCs/>
          <w:color w:val="auto"/>
          <w:sz w:val="28"/>
          <w:szCs w:val="28"/>
        </w:rPr>
        <w:t>投标人应当提供的资格、资质性要求的相关证明材料</w:t>
      </w:r>
      <w:bookmarkEnd w:id="388"/>
      <w:r>
        <w:rPr>
          <w:rFonts w:hint="eastAsia" w:ascii="仿宋" w:hAnsi="仿宋" w:eastAsia="仿宋"/>
          <w:b/>
          <w:bCs/>
          <w:color w:val="auto"/>
          <w:sz w:val="28"/>
          <w:szCs w:val="28"/>
          <w:lang w:val="en-US" w:eastAsia="zh-CN"/>
        </w:rPr>
        <w:t>（各包相同）</w:t>
      </w:r>
      <w:bookmarkEnd w:id="389"/>
    </w:p>
    <w:p w14:paraId="31AAD59A">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具有独立承担民事责任的能力</w:t>
      </w:r>
      <w:r>
        <w:rPr>
          <w:rFonts w:hint="eastAsia" w:ascii="仿宋" w:hAnsi="仿宋" w:eastAsia="仿宋" w:cs="仿宋"/>
          <w:b/>
          <w:bCs/>
          <w:color w:val="auto"/>
          <w:sz w:val="24"/>
          <w:szCs w:val="24"/>
          <w:highlight w:val="none"/>
          <w:lang w:val="en-US" w:eastAsia="zh-CN"/>
        </w:rPr>
        <w:t>：</w:t>
      </w:r>
    </w:p>
    <w:p w14:paraId="2A633EE4">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①投标人若为企业法人：提供“统一社会信用代码营业执照”复印件；</w:t>
      </w:r>
    </w:p>
    <w:p w14:paraId="0770A220">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②若为事业法人：提供“统一社会信用代码法人登记证书”复印件；</w:t>
      </w:r>
    </w:p>
    <w:p w14:paraId="113C6C7E">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③若为其他组织：提供“对应主管部门颁发的准许执业证明文件或营业执照”复印件；</w:t>
      </w:r>
    </w:p>
    <w:p w14:paraId="19E0AFAC">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④投标人若为自然人：提供“身份证明材料”复印件。</w:t>
      </w:r>
    </w:p>
    <w:p w14:paraId="08C4BD1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2、具有良好的商业信誉和健全的财务会计制度：</w:t>
      </w:r>
    </w:p>
    <w:p w14:paraId="1D32274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outlineLvl w:val="9"/>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（1）具有良好的商业信誉：</w:t>
      </w:r>
      <w:r>
        <w:rPr>
          <w:rFonts w:hint="eastAsia" w:ascii="仿宋" w:hAnsi="仿宋" w:eastAsia="仿宋" w:cs="仿宋"/>
          <w:b w:val="0"/>
          <w:bCs/>
          <w:color w:val="auto"/>
          <w:sz w:val="24"/>
          <w:szCs w:val="24"/>
          <w:highlight w:val="none"/>
          <w:lang w:val="en-US" w:eastAsia="zh-CN"/>
        </w:rPr>
        <w:t>提供具有良好的商业信誉承诺。</w:t>
      </w:r>
    </w:p>
    <w:p w14:paraId="75D76381">
      <w:pPr>
        <w:pStyle w:val="61"/>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（2）具有健全的财务会计制度：</w:t>
      </w:r>
      <w:r>
        <w:rPr>
          <w:rFonts w:hint="eastAsia" w:ascii="仿宋" w:hAnsi="仿宋" w:eastAsia="仿宋" w:cs="仿宋"/>
          <w:b w:val="0"/>
          <w:bCs/>
          <w:color w:val="auto"/>
          <w:sz w:val="24"/>
          <w:szCs w:val="24"/>
          <w:highlight w:val="none"/>
          <w:lang w:val="en-US" w:eastAsia="zh-CN"/>
        </w:rPr>
        <w:t>提供①可提供近三年（任意一年）投标人经审计的完整有效的财务报告复印件；②也可提供近三年（任意一年）投标人内部的财务报表复印件（至少应包含资产负债表、现金流量表、利润表）；③也可提供距文件递交截止日一年内银行出具的资信证明（复印件）；④投标人注册时间至文件递交截止日不足一年的，也可提供在市场监督管理部门备案的公司章程（复印件）；⑤非营利性单位或者社会团体或者其他机关事业单位以符合财务会计制度为准；⑥也可提供承诺函（格式自拟）。</w:t>
      </w:r>
    </w:p>
    <w:p w14:paraId="49AC5A1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具有履行合同所必</w:t>
      </w:r>
      <w:r>
        <w:rPr>
          <w:rFonts w:hint="eastAsia" w:ascii="仿宋" w:hAnsi="仿宋" w:eastAsia="仿宋" w:cs="仿宋"/>
          <w:b/>
          <w:bCs/>
          <w:color w:val="auto"/>
          <w:sz w:val="24"/>
          <w:szCs w:val="24"/>
          <w:highlight w:val="none"/>
          <w:lang w:eastAsia="zh-CN"/>
        </w:rPr>
        <w:t>需</w:t>
      </w:r>
      <w:r>
        <w:rPr>
          <w:rFonts w:hint="eastAsia" w:ascii="仿宋" w:hAnsi="仿宋" w:eastAsia="仿宋" w:cs="仿宋"/>
          <w:b/>
          <w:bCs/>
          <w:color w:val="auto"/>
          <w:sz w:val="24"/>
          <w:szCs w:val="24"/>
          <w:highlight w:val="none"/>
        </w:rPr>
        <w:t>的设备和专业技术能力</w:t>
      </w:r>
      <w:r>
        <w:rPr>
          <w:rFonts w:hint="eastAsia" w:ascii="仿宋" w:hAnsi="仿宋" w:eastAsia="仿宋" w:cs="仿宋"/>
          <w:color w:val="auto"/>
          <w:sz w:val="24"/>
          <w:szCs w:val="24"/>
          <w:highlight w:val="none"/>
          <w:lang w:val="en-US" w:eastAsia="zh-CN"/>
        </w:rPr>
        <w:t>：提供投标人能力情况说明或同等效力的其他证明材料或声明函（格式自拟）。</w:t>
      </w:r>
    </w:p>
    <w:p w14:paraId="677F104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具有依法缴纳税收和社会保障资金的良好记录</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的承诺函原件或者近三个月</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的证明材料复印件。</w:t>
      </w:r>
    </w:p>
    <w:p w14:paraId="3616168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参加本次采购活动前三年内，在经营活动中没有重大违法记录</w:t>
      </w:r>
      <w:r>
        <w:rPr>
          <w:rFonts w:hint="eastAsia" w:ascii="仿宋" w:hAnsi="仿宋" w:eastAsia="仿宋" w:cs="仿宋"/>
          <w:color w:val="auto"/>
          <w:sz w:val="24"/>
          <w:szCs w:val="24"/>
          <w:highlight w:val="none"/>
          <w:lang w:val="en-US" w:eastAsia="zh-CN"/>
        </w:rPr>
        <w:t>：提供参加本次采购活动前三年内，在经营活动中没有重大违法记录的承诺。</w:t>
      </w:r>
    </w:p>
    <w:p w14:paraId="6E43D3D1">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ascii="仿宋" w:hAnsi="仿宋"/>
          <w:color w:val="auto"/>
        </w:rPr>
      </w:pP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法律、行政法规规定的其他条件</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lang w:val="en-US" w:eastAsia="zh-CN"/>
        </w:rPr>
        <w:t>承诺函。（格式详见第三章承诺函1）</w:t>
      </w:r>
    </w:p>
    <w:p w14:paraId="71392808">
      <w:pPr>
        <w:pStyle w:val="51"/>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cs="宋体"/>
          <w:b/>
          <w:bCs/>
          <w:color w:val="auto"/>
          <w:lang w:val="en-US" w:eastAsia="zh-CN"/>
        </w:rPr>
        <w:t>7</w:t>
      </w:r>
      <w:r>
        <w:rPr>
          <w:rFonts w:hint="eastAsia" w:ascii="仿宋" w:hAnsi="仿宋" w:cs="宋体"/>
          <w:b/>
          <w:bCs/>
          <w:color w:val="auto"/>
        </w:rPr>
        <w:t>、</w:t>
      </w:r>
      <w:r>
        <w:rPr>
          <w:rFonts w:hint="eastAsia" w:ascii="仿宋" w:hAnsi="仿宋" w:eastAsia="仿宋" w:cs="仿宋"/>
          <w:b/>
          <w:bCs/>
          <w:color w:val="auto"/>
          <w:sz w:val="24"/>
          <w:szCs w:val="24"/>
          <w:highlight w:val="none"/>
          <w:lang w:val="en-US" w:eastAsia="zh-CN"/>
        </w:rPr>
        <w:t>本项目的特殊资质性要求的相关证明材料：</w:t>
      </w:r>
    </w:p>
    <w:p w14:paraId="2FE51A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90" w:name="_Toc20623"/>
      <w:bookmarkStart w:id="391" w:name="_Toc18206"/>
      <w:bookmarkStart w:id="392" w:name="_Toc20413"/>
      <w:r>
        <w:rPr>
          <w:rFonts w:hint="eastAsia" w:ascii="仿宋" w:hAnsi="仿宋" w:eastAsia="仿宋" w:cs="Times New Roman"/>
          <w:b w:val="0"/>
          <w:bCs w:val="0"/>
          <w:color w:val="auto"/>
          <w:sz w:val="24"/>
          <w:szCs w:val="24"/>
          <w:lang w:val="en-US" w:eastAsia="zh-CN"/>
        </w:rPr>
        <w:t>（1）投标产品为医疗器械时，三类医疗器械：须提供投标人的《医疗器械经营许可证》复印件；二类医疗器械：须提供投标人的医疗器械经营备案凭证复印件；一类医疗器械可不提供。（根据国办发【2017】41号政策要求“多证合一”的营业执照除外）</w:t>
      </w:r>
    </w:p>
    <w:p w14:paraId="2B709B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(2)需提供相关的资质：销售厂家营业执照、医疗器械经营许可证、生产厂家营业执照、医疗器械生产许可证、产品注册证或者备案文件、产品宣传彩页或者其他证明文件。</w:t>
      </w:r>
    </w:p>
    <w:p w14:paraId="4B78B17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(3)需提供合法进货渠道证明的相关文件和国家要求相关耗材资质。</w:t>
      </w:r>
    </w:p>
    <w:p w14:paraId="6AB36BB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61930C51">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rPr>
      </w:pPr>
      <w:bookmarkStart w:id="393" w:name="_Toc13950"/>
      <w:r>
        <w:rPr>
          <w:rFonts w:hint="eastAsia" w:ascii="仿宋" w:hAnsi="仿宋" w:eastAsia="仿宋" w:cs="Times New Roman"/>
          <w:b/>
          <w:bCs/>
          <w:color w:val="auto"/>
          <w:sz w:val="28"/>
          <w:szCs w:val="28"/>
          <w:lang w:val="en-US" w:eastAsia="zh-CN"/>
        </w:rPr>
        <w:t>二、投标人应当提供的其他类似效力证明材料</w:t>
      </w:r>
      <w:bookmarkEnd w:id="390"/>
      <w:bookmarkEnd w:id="391"/>
      <w:bookmarkEnd w:id="392"/>
      <w:bookmarkEnd w:id="393"/>
    </w:p>
    <w:p w14:paraId="5A528283">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1、按照规定获取了招标文件</w:t>
      </w:r>
      <w:r>
        <w:rPr>
          <w:rFonts w:hint="eastAsia" w:ascii="仿宋" w:hAnsi="仿宋" w:cs="宋体"/>
          <w:color w:val="auto"/>
          <w:lang w:eastAsia="zh-CN"/>
        </w:rPr>
        <w:t>：</w:t>
      </w:r>
      <w:r>
        <w:rPr>
          <w:rFonts w:hint="eastAsia" w:ascii="仿宋" w:hAnsi="仿宋" w:cs="宋体"/>
          <w:color w:val="auto"/>
        </w:rPr>
        <w:t>由</w:t>
      </w:r>
      <w:r>
        <w:rPr>
          <w:rFonts w:hint="eastAsia" w:ascii="仿宋" w:hAnsi="仿宋" w:cs="宋体"/>
          <w:color w:val="auto"/>
          <w:lang w:eastAsia="zh-CN"/>
        </w:rPr>
        <w:t>招标代理机构</w:t>
      </w:r>
      <w:r>
        <w:rPr>
          <w:rFonts w:hint="eastAsia" w:ascii="仿宋" w:hAnsi="仿宋" w:cs="宋体"/>
          <w:color w:val="auto"/>
        </w:rPr>
        <w:t>提供</w:t>
      </w:r>
      <w:r>
        <w:rPr>
          <w:rFonts w:hint="eastAsia" w:ascii="仿宋" w:hAnsi="仿宋" w:cs="宋体"/>
          <w:color w:val="auto"/>
          <w:lang w:eastAsia="zh-CN"/>
        </w:rPr>
        <w:t>投标人获取</w:t>
      </w:r>
      <w:r>
        <w:rPr>
          <w:rFonts w:hint="eastAsia" w:ascii="仿宋" w:hAnsi="仿宋" w:cs="宋体"/>
          <w:color w:val="auto"/>
        </w:rPr>
        <w:t>招标文件情况的相关证明材料，</w:t>
      </w:r>
      <w:r>
        <w:rPr>
          <w:rFonts w:hint="eastAsia" w:ascii="仿宋" w:hAnsi="仿宋" w:cs="宋体"/>
          <w:color w:val="auto"/>
          <w:lang w:eastAsia="zh-CN"/>
        </w:rPr>
        <w:t>投标人</w:t>
      </w:r>
      <w:r>
        <w:rPr>
          <w:rFonts w:hint="eastAsia" w:ascii="仿宋" w:hAnsi="仿宋" w:cs="宋体"/>
          <w:color w:val="auto"/>
        </w:rPr>
        <w:t>不用提供证明材料。</w:t>
      </w:r>
    </w:p>
    <w:p w14:paraId="614FEA8F">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14FA26A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eastAsia="zh-CN"/>
        </w:rPr>
        <w:t>（</w:t>
      </w:r>
      <w:r>
        <w:rPr>
          <w:rFonts w:hint="eastAsia" w:ascii="仿宋" w:hAnsi="仿宋" w:cs="宋体"/>
          <w:color w:val="auto"/>
          <w:lang w:val="en-US" w:eastAsia="zh-CN"/>
        </w:rPr>
        <w:t>1</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w:t>
      </w:r>
      <w:r>
        <w:rPr>
          <w:rFonts w:hint="eastAsia" w:ascii="仿宋" w:hAnsi="仿宋" w:cs="宋体"/>
          <w:color w:val="auto"/>
        </w:rPr>
        <w:t>身份</w:t>
      </w:r>
      <w:r>
        <w:rPr>
          <w:rFonts w:hint="eastAsia" w:ascii="仿宋" w:hAnsi="仿宋" w:cs="宋体"/>
          <w:color w:val="auto"/>
          <w:lang w:eastAsia="zh-CN"/>
        </w:rPr>
        <w:t>证明材料。</w:t>
      </w:r>
    </w:p>
    <w:p w14:paraId="6F555C05">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val="en-US" w:eastAsia="zh-CN"/>
        </w:rPr>
      </w:pPr>
      <w:r>
        <w:rPr>
          <w:rFonts w:hint="eastAsia" w:ascii="仿宋" w:hAnsi="仿宋" w:cs="宋体"/>
          <w:color w:val="auto"/>
          <w:lang w:eastAsia="zh-CN"/>
        </w:rPr>
        <w:t>（</w:t>
      </w:r>
      <w:r>
        <w:rPr>
          <w:rFonts w:hint="eastAsia" w:ascii="仿宋" w:hAnsi="仿宋" w:cs="宋体"/>
          <w:color w:val="auto"/>
          <w:lang w:val="en-US" w:eastAsia="zh-CN"/>
        </w:rPr>
        <w:t>2</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/单位负责人授权书原件和授权代表身份证明材料（投标人代表为非法定代表人时提供）。</w:t>
      </w:r>
    </w:p>
    <w:bookmarkEnd w:id="372"/>
    <w:p w14:paraId="5B7A336E">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cs="宋体"/>
          <w:b/>
          <w:bCs/>
          <w:color w:val="auto"/>
        </w:rPr>
      </w:pPr>
      <w:bookmarkStart w:id="394" w:name="_Toc217446093"/>
      <w:bookmarkStart w:id="395" w:name="_Toc2122"/>
      <w:r>
        <w:rPr>
          <w:rFonts w:hint="eastAsia" w:ascii="仿宋" w:hAnsi="仿宋" w:cs="宋体"/>
          <w:b/>
          <w:bCs/>
          <w:color w:val="auto"/>
        </w:rPr>
        <w:t>注：</w:t>
      </w:r>
    </w:p>
    <w:p w14:paraId="35DBC60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rPr>
        <w:t>1</w:t>
      </w:r>
      <w:r>
        <w:rPr>
          <w:rFonts w:hint="eastAsia" w:ascii="仿宋" w:hAnsi="仿宋" w:cs="宋体"/>
          <w:color w:val="auto"/>
          <w:lang w:eastAsia="zh-CN"/>
        </w:rPr>
        <w:t>、</w:t>
      </w:r>
      <w:r>
        <w:rPr>
          <w:rFonts w:hint="eastAsia" w:ascii="仿宋" w:hAnsi="仿宋" w:cs="宋体"/>
          <w:color w:val="auto"/>
        </w:rPr>
        <w:t>本章要求提供的相关证明材料应当与第</w:t>
      </w:r>
      <w:r>
        <w:rPr>
          <w:rFonts w:hint="eastAsia" w:ascii="仿宋" w:hAnsi="仿宋" w:cs="宋体"/>
          <w:color w:val="auto"/>
          <w:lang w:eastAsia="zh-CN"/>
        </w:rPr>
        <w:t>四</w:t>
      </w:r>
      <w:r>
        <w:rPr>
          <w:rFonts w:hint="eastAsia" w:ascii="仿宋" w:hAnsi="仿宋" w:cs="宋体"/>
          <w:color w:val="auto"/>
        </w:rPr>
        <w:t>章的规定要求对应，</w:t>
      </w:r>
      <w:r>
        <w:rPr>
          <w:rFonts w:hint="eastAsia" w:ascii="仿宋" w:hAnsi="仿宋" w:cs="宋体"/>
          <w:color w:val="auto"/>
          <w:lang w:eastAsia="zh-CN"/>
        </w:rPr>
        <w:t>并且是有效的证明材料。</w:t>
      </w:r>
    </w:p>
    <w:p w14:paraId="730BBF72">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2、</w:t>
      </w:r>
      <w:r>
        <w:rPr>
          <w:rFonts w:hint="eastAsia" w:ascii="仿宋" w:hAnsi="仿宋" w:cs="宋体"/>
          <w:color w:val="auto"/>
        </w:rPr>
        <w:t>本章提供的证明材料是资格性审查的主要依据，未通过审查者做无效</w:t>
      </w:r>
      <w:r>
        <w:rPr>
          <w:rFonts w:hint="eastAsia" w:ascii="仿宋" w:hAnsi="仿宋" w:cs="宋体"/>
          <w:color w:val="auto"/>
          <w:lang w:eastAsia="zh-CN"/>
        </w:rPr>
        <w:t>投标</w:t>
      </w:r>
      <w:r>
        <w:rPr>
          <w:rFonts w:hint="eastAsia" w:ascii="仿宋" w:hAnsi="仿宋" w:cs="宋体"/>
          <w:color w:val="auto"/>
        </w:rPr>
        <w:t>文件处理。</w:t>
      </w:r>
    </w:p>
    <w:p w14:paraId="0412E69C">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default" w:ascii="仿宋" w:hAnsi="仿宋" w:cs="宋体"/>
          <w:b/>
          <w:bCs/>
          <w:color w:val="auto"/>
          <w:lang w:val="en-US" w:eastAsia="zh-CN"/>
        </w:rPr>
      </w:pPr>
      <w:r>
        <w:rPr>
          <w:rFonts w:hint="eastAsia" w:ascii="仿宋" w:hAnsi="仿宋" w:cs="宋体"/>
          <w:b/>
          <w:bCs/>
          <w:color w:val="auto"/>
          <w:lang w:val="en-US" w:eastAsia="zh-CN"/>
        </w:rPr>
        <w:t>3、本章所涉及到的格式详见第三章。</w:t>
      </w:r>
    </w:p>
    <w:p w14:paraId="1781B4D2">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36"/>
          <w:szCs w:val="36"/>
        </w:rPr>
        <w:sectPr>
          <w:headerReference r:id="rId14" w:type="first"/>
          <w:headerReference r:id="rId12" w:type="default"/>
          <w:footerReference r:id="rId15" w:type="default"/>
          <w:headerReference r:id="rId13" w:type="even"/>
          <w:pgSz w:w="11906" w:h="16838"/>
          <w:pgMar w:top="1440" w:right="1134" w:bottom="1440" w:left="1134" w:header="851" w:footer="992" w:gutter="0"/>
          <w:pgNumType w:fmt="decimal"/>
          <w:cols w:space="720" w:num="1"/>
          <w:docGrid w:type="lines" w:linePitch="312" w:charSpace="0"/>
        </w:sectPr>
      </w:pPr>
    </w:p>
    <w:p w14:paraId="0CA9D5F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396" w:name="_Toc79959385"/>
      <w:bookmarkStart w:id="397" w:name="_Toc4905"/>
      <w:bookmarkStart w:id="398" w:name="_Toc31879"/>
      <w:r>
        <w:rPr>
          <w:rFonts w:hint="eastAsia" w:ascii="仿宋" w:hAnsi="仿宋" w:eastAsia="仿宋" w:cs="Times New Roman"/>
          <w:b/>
          <w:bCs/>
          <w:color w:val="auto"/>
          <w:sz w:val="36"/>
          <w:szCs w:val="36"/>
        </w:rPr>
        <w:t>第六章  招标项目技术、服务、采购合同内容条款及其他商务要求</w:t>
      </w:r>
      <w:bookmarkEnd w:id="394"/>
      <w:bookmarkEnd w:id="395"/>
      <w:bookmarkEnd w:id="396"/>
      <w:bookmarkEnd w:id="397"/>
      <w:bookmarkEnd w:id="398"/>
    </w:p>
    <w:p w14:paraId="34D1CC72">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399" w:name="_Toc217446094"/>
      <w:bookmarkStart w:id="400" w:name="_Toc22364"/>
      <w:bookmarkStart w:id="401" w:name="_Toc17663"/>
      <w:bookmarkStart w:id="402" w:name="_Toc9317"/>
      <w:bookmarkStart w:id="403" w:name="_Toc11445"/>
      <w:bookmarkStart w:id="404" w:name="_Toc24541"/>
      <w:bookmarkStart w:id="405" w:name="_Toc26064"/>
      <w:bookmarkStart w:id="406" w:name="_Toc3330"/>
      <w:bookmarkStart w:id="407" w:name="_Toc31810"/>
      <w:bookmarkStart w:id="408" w:name="_Toc24786"/>
      <w:r>
        <w:rPr>
          <w:rFonts w:hint="eastAsia" w:ascii="仿宋" w:hAnsi="仿宋" w:eastAsia="仿宋" w:cs="仿宋"/>
          <w:b/>
          <w:bCs/>
          <w:color w:val="auto"/>
          <w:highlight w:val="none"/>
          <w:lang w:val="en-US" w:eastAsia="zh-CN"/>
        </w:rPr>
        <w:t>一、项目概述</w:t>
      </w:r>
      <w:bookmarkEnd w:id="399"/>
      <w:bookmarkEnd w:id="400"/>
      <w:bookmarkEnd w:id="401"/>
      <w:bookmarkEnd w:id="402"/>
      <w:bookmarkEnd w:id="403"/>
      <w:bookmarkEnd w:id="404"/>
      <w:bookmarkEnd w:id="405"/>
      <w:bookmarkEnd w:id="406"/>
    </w:p>
    <w:p w14:paraId="6A00CD56">
      <w:pPr>
        <w:pStyle w:val="7"/>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color w:val="auto"/>
          <w:sz w:val="24"/>
          <w:szCs w:val="24"/>
          <w:highlight w:val="none"/>
        </w:rPr>
      </w:pPr>
      <w:bookmarkStart w:id="409" w:name="_Toc217446095"/>
      <w:r>
        <w:rPr>
          <w:rFonts w:hint="eastAsia" w:ascii="仿宋" w:hAnsi="仿宋" w:eastAsia="仿宋" w:cs="仿宋"/>
          <w:color w:val="auto"/>
          <w:sz w:val="24"/>
          <w:szCs w:val="24"/>
          <w:highlight w:val="none"/>
          <w:lang w:val="en-US" w:eastAsia="zh-CN"/>
        </w:rPr>
        <w:t>本项目共2个包，第一包：心内科类，第二包：肿瘤科类。包含配送及售后服务等。</w:t>
      </w:r>
    </w:p>
    <w:p w14:paraId="124F8408">
      <w:pPr>
        <w:pStyle w:val="3"/>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0" w:name="_Toc20805"/>
      <w:bookmarkStart w:id="411" w:name="_Toc7061"/>
      <w:bookmarkStart w:id="412" w:name="_Toc31188"/>
      <w:bookmarkStart w:id="413" w:name="_Toc13830"/>
      <w:bookmarkStart w:id="414" w:name="_Toc5942"/>
      <w:bookmarkStart w:id="415" w:name="_Toc18579"/>
      <w:bookmarkStart w:id="416" w:name="_Toc11359"/>
      <w:r>
        <w:rPr>
          <w:rFonts w:hint="eastAsia" w:ascii="仿宋" w:hAnsi="仿宋" w:eastAsia="仿宋" w:cs="仿宋"/>
          <w:b/>
          <w:bCs/>
          <w:color w:val="auto"/>
          <w:highlight w:val="none"/>
          <w:lang w:val="en-US" w:eastAsia="zh-CN"/>
        </w:rPr>
        <w:t>项目清单</w:t>
      </w:r>
      <w:bookmarkEnd w:id="410"/>
      <w:bookmarkEnd w:id="411"/>
      <w:bookmarkEnd w:id="412"/>
      <w:bookmarkEnd w:id="413"/>
      <w:bookmarkEnd w:id="414"/>
    </w:p>
    <w:tbl>
      <w:tblPr>
        <w:tblStyle w:val="3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574"/>
        <w:gridCol w:w="1496"/>
        <w:gridCol w:w="645"/>
        <w:gridCol w:w="570"/>
        <w:gridCol w:w="223"/>
        <w:gridCol w:w="1009"/>
        <w:gridCol w:w="132"/>
        <w:gridCol w:w="1585"/>
        <w:gridCol w:w="138"/>
        <w:gridCol w:w="1673"/>
        <w:gridCol w:w="69"/>
        <w:gridCol w:w="1034"/>
        <w:gridCol w:w="16"/>
      </w:tblGrid>
      <w:tr w14:paraId="5F5E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C00">
            <w:pPr>
              <w:keepNext w:val="0"/>
              <w:keepLines w:val="0"/>
              <w:widowControl/>
              <w:suppressLineNumbers w:val="0"/>
              <w:spacing w:line="240" w:lineRule="auto"/>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第一包：心内科类</w:t>
            </w:r>
          </w:p>
        </w:tc>
      </w:tr>
      <w:tr w14:paraId="4956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00E7">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3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C7B4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EF33">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5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C38A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E0CE7">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4342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532F6">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388A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4133">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3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388BC">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植入式心脏起搏电极导线</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FC9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AE42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732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4900.00 </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DAF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49000.00 </w:t>
            </w:r>
          </w:p>
        </w:tc>
        <w:tc>
          <w:tcPr>
            <w:tcW w:w="5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814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343F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F35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3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7E40D">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一次性使用无菌导管鞘组</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D9D8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03A6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2D4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285.00 </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170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2850.00 </w:t>
            </w:r>
          </w:p>
        </w:tc>
        <w:tc>
          <w:tcPr>
            <w:tcW w:w="5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B50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269E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79B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3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EE8E5F">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双极临时起搏电极导管</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306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4F36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326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1168.00 </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52E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11680.00 </w:t>
            </w:r>
          </w:p>
        </w:tc>
        <w:tc>
          <w:tcPr>
            <w:tcW w:w="5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29F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044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EA6D">
            <w:pPr>
              <w:keepNext w:val="0"/>
              <w:keepLines w:val="0"/>
              <w:widowControl/>
              <w:suppressLineNumbers w:val="0"/>
              <w:spacing w:line="240" w:lineRule="auto"/>
              <w:jc w:val="right"/>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合计：63530.00</w:t>
            </w:r>
          </w:p>
        </w:tc>
      </w:tr>
      <w:tr w14:paraId="01CA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A2A9">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4C3F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9A1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A97E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6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F00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6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F95D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D9D45">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9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7F93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3117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2AB4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2F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AB7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6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5A3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把</w:t>
            </w:r>
          </w:p>
        </w:tc>
        <w:tc>
          <w:tcPr>
            <w:tcW w:w="6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9E01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A56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 </w:t>
            </w:r>
          </w:p>
        </w:tc>
        <w:tc>
          <w:tcPr>
            <w:tcW w:w="91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CD1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150000.00 </w:t>
            </w:r>
          </w:p>
        </w:tc>
        <w:tc>
          <w:tcPr>
            <w:tcW w:w="5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565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A1A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3E1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759" w:type="pct"/>
            <w:tcBorders>
              <w:top w:val="single" w:color="000000" w:sz="4" w:space="0"/>
              <w:left w:val="single" w:color="000000" w:sz="4" w:space="0"/>
              <w:bottom w:val="nil"/>
              <w:right w:val="single" w:color="000000" w:sz="4" w:space="0"/>
            </w:tcBorders>
            <w:shd w:val="clear" w:color="auto" w:fill="auto"/>
            <w:vAlign w:val="center"/>
          </w:tcPr>
          <w:p w14:paraId="679DE9B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616" w:type="pct"/>
            <w:gridSpan w:val="2"/>
            <w:tcBorders>
              <w:top w:val="single" w:color="000000" w:sz="4" w:space="0"/>
              <w:left w:val="single" w:color="000000" w:sz="4" w:space="0"/>
              <w:bottom w:val="nil"/>
              <w:right w:val="single" w:color="000000" w:sz="4" w:space="0"/>
            </w:tcBorders>
            <w:shd w:val="clear" w:color="auto" w:fill="auto"/>
            <w:noWrap/>
            <w:vAlign w:val="center"/>
          </w:tcPr>
          <w:p w14:paraId="163E1E4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625" w:type="pct"/>
            <w:gridSpan w:val="2"/>
            <w:tcBorders>
              <w:top w:val="single" w:color="000000" w:sz="4" w:space="0"/>
              <w:left w:val="single" w:color="000000" w:sz="4" w:space="0"/>
              <w:bottom w:val="nil"/>
              <w:right w:val="single" w:color="000000" w:sz="4" w:space="0"/>
            </w:tcBorders>
            <w:shd w:val="clear" w:color="auto" w:fill="auto"/>
            <w:vAlign w:val="center"/>
          </w:tcPr>
          <w:p w14:paraId="2916C57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w:t>
            </w:r>
          </w:p>
        </w:tc>
        <w:tc>
          <w:tcPr>
            <w:tcW w:w="871" w:type="pct"/>
            <w:gridSpan w:val="2"/>
            <w:tcBorders>
              <w:top w:val="single" w:color="000000" w:sz="4" w:space="0"/>
              <w:left w:val="single" w:color="000000" w:sz="4" w:space="0"/>
              <w:bottom w:val="nil"/>
              <w:right w:val="single" w:color="000000" w:sz="4" w:space="0"/>
            </w:tcBorders>
            <w:shd w:val="clear" w:color="auto" w:fill="auto"/>
            <w:noWrap/>
            <w:vAlign w:val="center"/>
          </w:tcPr>
          <w:p w14:paraId="71DB16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72.00 </w:t>
            </w:r>
          </w:p>
        </w:tc>
        <w:tc>
          <w:tcPr>
            <w:tcW w:w="918" w:type="pct"/>
            <w:gridSpan w:val="2"/>
            <w:tcBorders>
              <w:top w:val="single" w:color="000000" w:sz="4" w:space="0"/>
              <w:left w:val="single" w:color="000000" w:sz="4" w:space="0"/>
              <w:bottom w:val="nil"/>
              <w:right w:val="single" w:color="000000" w:sz="4" w:space="0"/>
            </w:tcBorders>
            <w:shd w:val="clear" w:color="auto" w:fill="auto"/>
            <w:noWrap/>
            <w:vAlign w:val="center"/>
          </w:tcPr>
          <w:p w14:paraId="4C3881A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4320.00 </w:t>
            </w:r>
          </w:p>
        </w:tc>
        <w:tc>
          <w:tcPr>
            <w:tcW w:w="559" w:type="pct"/>
            <w:gridSpan w:val="2"/>
            <w:tcBorders>
              <w:top w:val="single" w:color="000000" w:sz="4" w:space="0"/>
              <w:left w:val="single" w:color="000000" w:sz="4" w:space="0"/>
              <w:bottom w:val="nil"/>
              <w:right w:val="single" w:color="000000" w:sz="4" w:space="0"/>
            </w:tcBorders>
            <w:shd w:val="clear" w:color="auto" w:fill="auto"/>
            <w:noWrap/>
            <w:vAlign w:val="center"/>
          </w:tcPr>
          <w:p w14:paraId="04423D6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C73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4991"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1C12">
            <w:pPr>
              <w:keepNext w:val="0"/>
              <w:keepLines w:val="0"/>
              <w:widowControl/>
              <w:suppressLineNumbers w:val="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合计：154320.00元 </w:t>
            </w:r>
          </w:p>
        </w:tc>
      </w:tr>
    </w:tbl>
    <w:p w14:paraId="18EA6E46">
      <w:pPr>
        <w:rPr>
          <w:rFonts w:hint="eastAsia"/>
          <w:color w:val="auto"/>
          <w:lang w:val="en-US" w:eastAsia="zh-CN"/>
        </w:rPr>
      </w:pPr>
    </w:p>
    <w:p w14:paraId="151FAAE0">
      <w:pPr>
        <w:rPr>
          <w:rFonts w:hint="eastAsia"/>
          <w:color w:val="auto"/>
          <w:lang w:val="en-US" w:eastAsia="zh-CN"/>
        </w:rPr>
      </w:pPr>
    </w:p>
    <w:p w14:paraId="0FF4A433">
      <w:pPr>
        <w:rPr>
          <w:rFonts w:hint="eastAsia"/>
          <w:color w:val="auto"/>
          <w:lang w:val="en-US" w:eastAsia="zh-CN"/>
        </w:rPr>
      </w:pPr>
    </w:p>
    <w:p w14:paraId="08075D5D">
      <w:pPr>
        <w:pStyle w:val="3"/>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default" w:ascii="仿宋" w:hAnsi="仿宋" w:eastAsia="仿宋" w:cs="仿宋"/>
          <w:b/>
          <w:bCs/>
          <w:color w:val="auto"/>
          <w:highlight w:val="none"/>
          <w:lang w:val="en-US" w:eastAsia="zh-CN"/>
        </w:rPr>
      </w:pPr>
      <w:bookmarkStart w:id="417" w:name="_Toc3393"/>
      <w:r>
        <w:rPr>
          <w:rFonts w:hint="eastAsia" w:ascii="仿宋" w:hAnsi="仿宋" w:eastAsia="仿宋" w:cs="仿宋"/>
          <w:b/>
          <w:bCs/>
          <w:color w:val="auto"/>
          <w:highlight w:val="none"/>
          <w:lang w:val="en-US" w:eastAsia="zh-CN"/>
        </w:rPr>
        <w:t>技术参数要求</w:t>
      </w:r>
      <w:bookmarkEnd w:id="415"/>
      <w:bookmarkEnd w:id="416"/>
      <w:bookmarkEnd w:id="417"/>
    </w:p>
    <w:tbl>
      <w:tblPr>
        <w:tblStyle w:val="3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75"/>
        <w:gridCol w:w="2054"/>
        <w:gridCol w:w="6817"/>
      </w:tblGrid>
      <w:tr w14:paraId="40F8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5000" w:type="pct"/>
            <w:gridSpan w:val="3"/>
            <w:shd w:val="clear" w:color="auto" w:fill="auto"/>
            <w:noWrap/>
            <w:vAlign w:val="center"/>
          </w:tcPr>
          <w:p w14:paraId="3B7355F7">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第一包：心内科类</w:t>
            </w:r>
          </w:p>
        </w:tc>
      </w:tr>
      <w:tr w14:paraId="3500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0CE06AE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3" w:type="pct"/>
            <w:shd w:val="clear" w:color="auto" w:fill="auto"/>
            <w:vAlign w:val="center"/>
          </w:tcPr>
          <w:p w14:paraId="68BA26A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61" w:type="pct"/>
            <w:shd w:val="clear" w:color="auto" w:fill="auto"/>
            <w:vAlign w:val="center"/>
          </w:tcPr>
          <w:p w14:paraId="4E63E2B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技术参数</w:t>
            </w:r>
          </w:p>
        </w:tc>
      </w:tr>
      <w:tr w14:paraId="7046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4FDC004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3" w:type="pct"/>
            <w:shd w:val="clear" w:color="auto" w:fill="auto"/>
            <w:vAlign w:val="center"/>
          </w:tcPr>
          <w:p w14:paraId="43BB63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植入式心脏起搏电极导线</w:t>
            </w:r>
          </w:p>
        </w:tc>
        <w:tc>
          <w:tcPr>
            <w:tcW w:w="3461" w:type="pct"/>
            <w:shd w:val="clear" w:color="auto" w:fill="auto"/>
            <w:vAlign w:val="center"/>
          </w:tcPr>
          <w:p w14:paraId="2C110BD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1、产品由电极导线和附件组成。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与兼容脉冲发生器结合使用时，用于对右心房和/或右心室进行长期起搏和感知。该电极导线与脉冲发生器构成的植入式系统属于磁共振环境条件安全医疗器械。在规定的条件下，以及保证对患者和植入设备采取了特殊保护措施的前提下，患者可接受临床1.5T或3T场强的磁共振成像检查。</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3、配套招标人集采的波科品牌永久心脏起搏器使用。</w:t>
            </w:r>
          </w:p>
        </w:tc>
      </w:tr>
      <w:tr w14:paraId="3BE8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0230E5D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3" w:type="pct"/>
            <w:shd w:val="clear" w:color="auto" w:fill="auto"/>
            <w:vAlign w:val="center"/>
          </w:tcPr>
          <w:p w14:paraId="19F69B4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一次性使用无菌导管鞘组</w:t>
            </w:r>
          </w:p>
        </w:tc>
        <w:tc>
          <w:tcPr>
            <w:tcW w:w="3461" w:type="pct"/>
            <w:shd w:val="clear" w:color="auto" w:fill="auto"/>
            <w:vAlign w:val="center"/>
          </w:tcPr>
          <w:p w14:paraId="603E94DD">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一次性使用无菌导管鞘组是在实施起搏器植入、电生理检查、介入治疗手术时使用的一个工具，只在手术过程中完成静脉血管穿刺，为植入器械或植入物提供一个手术通道。产品为一次性使用产品，环氧乙烷灭菌，每套静脉导管鞘组包括一个穿刺针、一个注射器、一根导丝和一个血管扩张器/导管鞘组件。针头、导丝主要材料为：0Cr18Ni9，注射器主要材料为聚丙烯，血管扩张器主要材料为聚乙烯、导管鞘主要材料为聚四氟乙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2、适用于静脉血管穿刺，辅助心脏起搏器电极导管等各种静脉导管的插入。</w:t>
            </w:r>
          </w:p>
        </w:tc>
      </w:tr>
      <w:tr w14:paraId="0D7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29A7DA8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043" w:type="pct"/>
            <w:shd w:val="clear" w:color="auto" w:fill="auto"/>
            <w:vAlign w:val="center"/>
          </w:tcPr>
          <w:p w14:paraId="71B4F1C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双极临时起搏电极导管</w:t>
            </w:r>
          </w:p>
        </w:tc>
        <w:tc>
          <w:tcPr>
            <w:tcW w:w="3461" w:type="pct"/>
            <w:shd w:val="clear" w:color="auto" w:fill="auto"/>
            <w:vAlign w:val="center"/>
          </w:tcPr>
          <w:p w14:paraId="551295D2">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1、电极导管（含适配器）、电极导管保护套、导管鞘、注射器、穿刺针和电极组成。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2、适用于在临时经静脉右心室起搏中使用。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28CF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3"/>
            <w:shd w:val="clear" w:color="auto" w:fill="auto"/>
            <w:noWrap/>
            <w:vAlign w:val="center"/>
          </w:tcPr>
          <w:p w14:paraId="6420EC7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5BA1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4373E12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3" w:type="pct"/>
            <w:shd w:val="clear" w:color="auto" w:fill="auto"/>
            <w:vAlign w:val="center"/>
          </w:tcPr>
          <w:p w14:paraId="6655450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61" w:type="pct"/>
            <w:shd w:val="clear" w:color="auto" w:fill="auto"/>
            <w:vAlign w:val="center"/>
          </w:tcPr>
          <w:p w14:paraId="3E63CE4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eastAsia="zh-CN"/>
              </w:rPr>
            </w:pPr>
            <w:r>
              <w:rPr>
                <w:rFonts w:hint="eastAsia" w:ascii="仿宋" w:hAnsi="仿宋" w:eastAsia="仿宋" w:cs="仿宋"/>
                <w:b/>
                <w:bCs/>
                <w:i w:val="0"/>
                <w:iCs w:val="0"/>
                <w:color w:val="auto"/>
                <w:sz w:val="24"/>
                <w:szCs w:val="24"/>
                <w:u w:val="none"/>
                <w:lang w:val="en-US" w:eastAsia="zh-CN"/>
              </w:rPr>
              <w:t>技术参数</w:t>
            </w:r>
          </w:p>
        </w:tc>
      </w:tr>
      <w:tr w14:paraId="0F47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5CB320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3" w:type="pct"/>
            <w:shd w:val="clear" w:color="auto" w:fill="auto"/>
            <w:vAlign w:val="center"/>
          </w:tcPr>
          <w:p w14:paraId="7F7719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3461" w:type="pct"/>
            <w:shd w:val="clear" w:color="auto" w:fill="auto"/>
            <w:vAlign w:val="center"/>
          </w:tcPr>
          <w:p w14:paraId="76C846B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1、大小要求：1.3mm、1.7mm、2.4mm、3.4mm。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2、用于实体肿瘤冷冻治疗。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3、提供跟台服务、技术指导及配套器械。</w:t>
            </w:r>
          </w:p>
        </w:tc>
      </w:tr>
      <w:tr w14:paraId="380D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95" w:type="pct"/>
            <w:shd w:val="clear" w:color="auto" w:fill="auto"/>
            <w:noWrap/>
            <w:vAlign w:val="center"/>
          </w:tcPr>
          <w:p w14:paraId="52723B2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3" w:type="pct"/>
            <w:shd w:val="clear" w:color="auto" w:fill="auto"/>
            <w:vAlign w:val="center"/>
          </w:tcPr>
          <w:p w14:paraId="73474BA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3461" w:type="pct"/>
            <w:shd w:val="clear" w:color="auto" w:fill="auto"/>
            <w:vAlign w:val="center"/>
          </w:tcPr>
          <w:p w14:paraId="569BF164">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1、对患者经外周置入中心静脉导管、中心静脉导管以及留置针置管的护理和换药使用。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配置要求：外科手套（7#）1双、隔离衣（M）1件、透明敷贴（膜面10cmx12cm,方形）1片、无纺布片（5x5cm,4层）2片、无纺布片（10x10cm,4层）4片、医用胶布（4.5x8cm）2张、托盘（21.0x13.5x3.5cm）1个、托盘（19.7x10.7x2.4cm）1个、托盘（刻度:60ml）1个、压脉带（2.5x45cm）1根、医用脱脂棉球（1g/个）10个、剪刀（12cm,塑料手柄）1把、纸尺（刻度:60cm）1条、吸水垫（45x60cm）1张、治疗巾（50x70cm）1张、孔巾（80x90cm）1张、包巾（100x100cm）1张、大单（120x200cm）1张、镊子（12.7cm）1把、镊子（12.0cm）1把。</w:t>
            </w:r>
          </w:p>
        </w:tc>
      </w:tr>
    </w:tbl>
    <w:p w14:paraId="5A63D8AC">
      <w:pPr>
        <w:pStyle w:val="7"/>
        <w:pageBreakBefore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bookmarkEnd w:id="409"/>
    <w:p w14:paraId="66AFD91B">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8" w:name="_Toc19283"/>
      <w:bookmarkStart w:id="419" w:name="_Toc3120"/>
      <w:bookmarkStart w:id="420" w:name="_Toc16952"/>
      <w:bookmarkStart w:id="421" w:name="_Toc24400"/>
      <w:bookmarkStart w:id="422" w:name="_Toc4701"/>
      <w:bookmarkStart w:id="423" w:name="_Toc16486"/>
      <w:bookmarkStart w:id="424" w:name="_Toc4969"/>
      <w:bookmarkStart w:id="425" w:name="_Toc1339"/>
      <w:bookmarkStart w:id="426" w:name="_Toc79959390"/>
      <w:r>
        <w:rPr>
          <w:rFonts w:hint="eastAsia" w:ascii="仿宋" w:hAnsi="仿宋" w:eastAsia="仿宋" w:cs="仿宋"/>
          <w:b/>
          <w:bCs/>
          <w:color w:val="auto"/>
          <w:kern w:val="2"/>
          <w:sz w:val="32"/>
          <w:szCs w:val="32"/>
          <w:highlight w:val="none"/>
          <w:lang w:val="en-US" w:eastAsia="zh-CN" w:bidi="ar-SA"/>
        </w:rPr>
        <w:t>★</w:t>
      </w:r>
      <w:r>
        <w:rPr>
          <w:rFonts w:hint="eastAsia" w:ascii="仿宋" w:hAnsi="仿宋" w:eastAsia="仿宋" w:cs="仿宋"/>
          <w:b/>
          <w:bCs/>
          <w:color w:val="auto"/>
          <w:highlight w:val="none"/>
          <w:lang w:val="en-US" w:eastAsia="zh-CN"/>
        </w:rPr>
        <w:t>四、商务要求</w:t>
      </w:r>
      <w:bookmarkEnd w:id="418"/>
      <w:bookmarkEnd w:id="419"/>
      <w:bookmarkEnd w:id="420"/>
      <w:bookmarkEnd w:id="421"/>
      <w:bookmarkEnd w:id="422"/>
      <w:bookmarkEnd w:id="423"/>
      <w:r>
        <w:rPr>
          <w:rFonts w:hint="eastAsia" w:ascii="仿宋" w:hAnsi="仿宋" w:eastAsia="仿宋" w:cs="仿宋"/>
          <w:b/>
          <w:bCs/>
          <w:color w:val="auto"/>
          <w:highlight w:val="none"/>
          <w:lang w:val="en-US" w:eastAsia="zh-CN"/>
        </w:rPr>
        <w:t>（各包相同）</w:t>
      </w:r>
      <w:bookmarkEnd w:id="424"/>
    </w:p>
    <w:p w14:paraId="1A43A4F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1、投标人需提供全面、合格的货物:投标人提供的货物必须符合已颁布的中国国家标准或国际标准的有关条款。 </w:t>
      </w:r>
    </w:p>
    <w:p w14:paraId="0A43F12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签订合同前，耗材必须在“四川医保平台子系统-药品和医用耗材招采管理系统”获得配送资格，如未获得配送权不与签订合同，如投标人虚假响应，所产生的一切后果自行承担。挂网品种根据“药品和医用耗材招采管理系统”目录动态调整，以每月实际采购下订单目录为准。（必须提供相应产品能获得配送权的承诺函，格式自拟）；</w:t>
      </w:r>
    </w:p>
    <w:p w14:paraId="7B431A4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1.2、如产品出现了降价的情况配送投标人必须执行新价格（提供承诺函，格式自拟）；</w:t>
      </w:r>
    </w:p>
    <w:p w14:paraId="422554D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1.3、采购价不得高于的“四川医保平台子系统-药品和医用耗材招采管理系统”中的“我省最高参考价”、“联动参考价”、“截止上月末全省医疗机构采购加权平均价”等价格 ，中标人无条件执行价格政策，并在四川药械采购网上进行价格确认生成订单，中标人无条件执行价格政策，出现了降价的情况配送投标人必须执行新价格，不得以任何理由不供货。中标人如不执行，招标人有权终止合同；（提供承诺函，格式自拟）</w:t>
      </w:r>
    </w:p>
    <w:p w14:paraId="173264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1.4、挂网品种根据“药品和医用耗材招采管理系统”目录动态调整，以每月实际采购下订单目录为准。</w:t>
      </w:r>
    </w:p>
    <w:p w14:paraId="3BAA961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1.5、所有采购产品，出现国家集采范围内，进入国家集采范围内的产品自动中止采购，执行国家集采相关政策。</w:t>
      </w:r>
    </w:p>
    <w:p w14:paraId="1739F71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1.6、所有采购产品，由总院统一采购后合同自动终止，执行总院采购政策。</w:t>
      </w:r>
    </w:p>
    <w:p w14:paraId="1DC58541">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2、中标后签合同之前提供样品到使用科室，确定参数要求是否满足。中标人需向招标人提供及时有效的技术支持。 </w:t>
      </w:r>
    </w:p>
    <w:p w14:paraId="0DB076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本项目各包件清单中列举的物品为招标人主要采购物品（属于预估清单），各包件清单不代表采购的所有内容，投标人在服务期内须根据招标人实际需求提供相应物品，清单中未列举的物品，无参考价格的新进挂网产品，其价格由招标人参照有参考价格的同类产品、按照招标人内部采购管理制度和程序进行确定。</w:t>
      </w:r>
    </w:p>
    <w:p w14:paraId="0A248F5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 4、中标人配送及时，一般耗材于2天内送达，急用耗材应根据需要按时送达。（投标人需在售后服务承诺书中明确表述）。 </w:t>
      </w:r>
    </w:p>
    <w:p w14:paraId="293FF53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5、产品质保期：≥1 年（招标文件技术要求另有规定的按技术要求相关规定执行）。产品在使用前若发现有质量问题，应及时免费更换。对合同执行期间产品有效期低于 6 个月的货物中标人应免费更换。其他质量问题在采购合同中约束。</w:t>
      </w:r>
    </w:p>
    <w:p w14:paraId="296075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6、供货期限：合同签订生效后 2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7D95952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7、支付方式: </w:t>
      </w:r>
    </w:p>
    <w:p w14:paraId="26D98C1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7.1 最终采购量以实际需求采购量为准，最终结算金额以中标单价和实际发生的数量结算，按月据实结算（每月供货量经双方确认）并开具完整有效的票据，以票据为准实行滚动付款。 </w:t>
      </w:r>
    </w:p>
    <w:p w14:paraId="0B3CA09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7.2 配送履约期间，如因疫情变动或政策调整等不可抗拒因素导致价格变动较大的，双方另行约定。</w:t>
      </w:r>
    </w:p>
    <w:p w14:paraId="3B0911DF">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7.3 本采购项目明细各单项均设预算单价，单项预算单价详见明细表。投标人必须对各项单价进行报价，且不得高于各项预算单价。单项单价超过预算单价的供货商的报价视为无效投标。 </w:t>
      </w:r>
    </w:p>
    <w:p w14:paraId="74F7A9D0">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8、交货地点：富顺县中医医院指定地点。 </w:t>
      </w:r>
    </w:p>
    <w:p w14:paraId="553A069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9、质量保证</w:t>
      </w:r>
    </w:p>
    <w:p w14:paraId="7CBB68A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9.1 中标人保证所提供的产品质量，如出现产品质量问题中标人应负责退换。对合同执行期间产品有效期低于 6 个月的货物中标人应免费更换。由于产品质量问题引起的医疗事故均由中标人承担相应责任。 </w:t>
      </w:r>
    </w:p>
    <w:p w14:paraId="062F75C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9.2  中标人所供货物适用于临床，如临床在使用过程出现不良事件的情况，中标人为招标人更换相应的产品，如更换 2 次仍不能达到临床要求，则中标人在不高于合同单价的前提下为招标人提供合格产品。</w:t>
      </w:r>
    </w:p>
    <w:p w14:paraId="58A9AD8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9.3、检验试剂需提供性能验证服务包含试剂及工程师，且通过性能验证后才能投入临床使用。</w:t>
      </w:r>
    </w:p>
    <w:p w14:paraId="01A80DF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10、验收标准：中标人与招标人应严格按照《财政部关于进一步加强政府采购需求和履约验收管理的指导意见》（财库〔2016〕205号）的要求和招标文件以及投标文件进行验收。</w:t>
      </w:r>
    </w:p>
    <w:p w14:paraId="5DCC08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11、售后服务 </w:t>
      </w:r>
    </w:p>
    <w:p w14:paraId="0F06693E">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11.1、合同协议期限内，投标人根据招标人的具体时间要求进行分批次供货，投标人须按招标人交货要求供货，中标人配送及时，一般耗材于2天内送达，急用耗材应根据需要按时送达。若有需要冷藏的产品需保证冷链运输。</w:t>
      </w:r>
    </w:p>
    <w:p w14:paraId="3C8DB4B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11.2、投标人对所供医用耗材应充足备货，确保招标人随时需要。投标人知悉本次采购事项发生的背景和环境，合同履行过程中因不可抗力因素和可能面临的外部困难和障碍，投标人对此均有充分的计划和准备，保证及时供货。急诊或急救耗材必须保证下达计划后随时供货，不得因供货不及时影响招标人正常医疗工作。</w:t>
      </w:r>
    </w:p>
    <w:p w14:paraId="5FFC6D5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11.3、投标人所供医用耗材送达招标人库房办理验收手续，并在招标人指定位置码放整齐；应急情况例外。</w:t>
      </w:r>
    </w:p>
    <w:p w14:paraId="1DFE2C59">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11.4、在实际使用过程中如因产品自身质量原因出现异常情况，投标人能在收到院方口头或书面通知后请厂家或专家24小时内到招标人处协助解决异常情况，相关一切费用由投标人负责。</w:t>
      </w:r>
    </w:p>
    <w:p w14:paraId="02E31977">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11.5、对于一些需要培训后使用的产品，投标人必须做好相关培训工作，培训产生的费用由投标人负责。</w:t>
      </w:r>
    </w:p>
    <w:p w14:paraId="61009554">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11.6、中标人保证所提供的产品质量，如出现产品质量问题中标人应负责退换。由于产品质量问题引起的医疗事故均由中标人承担相应责任。</w:t>
      </w:r>
    </w:p>
    <w:p w14:paraId="21A2DDCC">
      <w:pPr>
        <w:pStyle w:val="12"/>
        <w:spacing w:line="360" w:lineRule="auto"/>
        <w:ind w:firstLine="480" w:firstLineChars="200"/>
        <w:rPr>
          <w:rFonts w:hint="eastAsia" w:ascii="仿宋" w:hAnsi="仿宋" w:eastAsia="仿宋" w:cs="仿宋"/>
          <w:b w:val="0"/>
          <w:bCs w:val="0"/>
          <w:color w:val="auto"/>
          <w:kern w:val="2"/>
          <w:sz w:val="24"/>
          <w:szCs w:val="24"/>
          <w:highlight w:val="none"/>
          <w:rtl w:val="0"/>
          <w:lang w:val="en-US" w:eastAsia="zh-CN" w:bidi="ar-SA"/>
        </w:rPr>
      </w:pPr>
      <w:r>
        <w:rPr>
          <w:rFonts w:hint="eastAsia" w:ascii="仿宋" w:hAnsi="仿宋" w:eastAsia="仿宋" w:cs="仿宋"/>
          <w:b w:val="0"/>
          <w:bCs w:val="0"/>
          <w:color w:val="auto"/>
          <w:kern w:val="2"/>
          <w:sz w:val="24"/>
          <w:szCs w:val="24"/>
          <w:highlight w:val="none"/>
          <w:rtl w:val="0"/>
          <w:lang w:val="en-US" w:eastAsia="zh-CN" w:bidi="ar-SA"/>
        </w:rPr>
        <w:t>12、凡投标人虚假投标招标文件中的内容，提供虚假材料谋取中标、成交的，一经查证属实，该投标人将列入富顺县中医医院招标采购不良行为记录名单，1年内禁止参与富顺县中医医院非政府采购项目。</w:t>
      </w:r>
    </w:p>
    <w:p w14:paraId="0D8F773A">
      <w:pPr>
        <w:pStyle w:val="12"/>
        <w:rPr>
          <w:rFonts w:hint="eastAsia"/>
          <w:lang w:val="en-US" w:eastAsia="zh-CN"/>
        </w:rPr>
      </w:pPr>
    </w:p>
    <w:p w14:paraId="01556408">
      <w:pPr>
        <w:pStyle w:val="12"/>
        <w:rPr>
          <w:rFonts w:hint="eastAsia"/>
          <w:lang w:val="en-US" w:eastAsia="zh-CN"/>
        </w:rPr>
      </w:pPr>
    </w:p>
    <w:p w14:paraId="2BEF997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p>
    <w:p w14:paraId="179912A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注：本章采购需求中标注“★”号的条款为本次采购项目的实质性要求，投标人应全部满足。</w:t>
      </w:r>
    </w:p>
    <w:p w14:paraId="10B6428F">
      <w:pPr>
        <w:pStyle w:val="12"/>
        <w:pageBreakBefore w:val="0"/>
        <w:widowControl w:val="0"/>
        <w:kinsoku/>
        <w:wordWrap/>
        <w:overflowPunct/>
        <w:topLinePunct w:val="0"/>
        <w:bidi w:val="0"/>
        <w:snapToGrid/>
        <w:outlineLvl w:val="9"/>
        <w:rPr>
          <w:rFonts w:ascii="仿宋" w:hAnsi="仿宋" w:eastAsia="仿宋"/>
          <w:color w:val="auto"/>
        </w:rPr>
        <w:sectPr>
          <w:pgSz w:w="11906" w:h="16838"/>
          <w:pgMar w:top="1440" w:right="1134" w:bottom="1440" w:left="1134" w:header="851" w:footer="992" w:gutter="0"/>
          <w:pgNumType w:fmt="decimal"/>
          <w:cols w:space="425" w:num="1"/>
          <w:docGrid w:type="lines" w:linePitch="312" w:charSpace="0"/>
        </w:sectPr>
      </w:pPr>
    </w:p>
    <w:p w14:paraId="343AD22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427" w:name="_Toc7943"/>
      <w:r>
        <w:rPr>
          <w:rFonts w:hint="eastAsia" w:ascii="仿宋" w:hAnsi="仿宋" w:eastAsia="仿宋" w:cs="Times New Roman"/>
          <w:b/>
          <w:bCs/>
          <w:color w:val="auto"/>
          <w:sz w:val="36"/>
          <w:szCs w:val="36"/>
        </w:rPr>
        <w:t>第七章  评标办法</w:t>
      </w:r>
      <w:bookmarkEnd w:id="407"/>
      <w:bookmarkEnd w:id="408"/>
      <w:bookmarkEnd w:id="425"/>
      <w:bookmarkEnd w:id="426"/>
      <w:bookmarkEnd w:id="427"/>
      <w:bookmarkStart w:id="428" w:name="_Hlt101846155"/>
      <w:bookmarkEnd w:id="428"/>
      <w:bookmarkStart w:id="429" w:name="_Toc208849007"/>
      <w:bookmarkStart w:id="430" w:name="_Toc183682415"/>
      <w:bookmarkStart w:id="431" w:name="_Toc217446097"/>
      <w:bookmarkStart w:id="432" w:name="_Toc183582280"/>
    </w:p>
    <w:p w14:paraId="3B3025B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3" w:name="_Toc79959391"/>
      <w:bookmarkStart w:id="434" w:name="_Toc11011"/>
      <w:bookmarkStart w:id="435" w:name="_Toc23837"/>
      <w:r>
        <w:rPr>
          <w:rFonts w:hint="eastAsia" w:ascii="仿宋" w:hAnsi="仿宋" w:eastAsia="仿宋" w:cs="Times New Roman"/>
          <w:b/>
          <w:bCs/>
          <w:color w:val="auto"/>
          <w:sz w:val="28"/>
          <w:szCs w:val="28"/>
          <w:lang w:val="en-US" w:eastAsia="zh-CN"/>
        </w:rPr>
        <w:t>一、总则</w:t>
      </w:r>
      <w:bookmarkEnd w:id="429"/>
      <w:bookmarkEnd w:id="430"/>
      <w:bookmarkEnd w:id="431"/>
      <w:bookmarkEnd w:id="432"/>
      <w:bookmarkEnd w:id="433"/>
      <w:bookmarkEnd w:id="434"/>
      <w:bookmarkEnd w:id="435"/>
    </w:p>
    <w:p w14:paraId="1661FBB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bookmarkStart w:id="436" w:name="_Toc217446098"/>
      <w:bookmarkStart w:id="437" w:name="_Toc79959392"/>
      <w:r>
        <w:rPr>
          <w:rFonts w:hint="eastAsia" w:ascii="仿宋" w:hAnsi="仿宋" w:eastAsia="仿宋" w:cs="Times New Roman"/>
          <w:b w:val="0"/>
          <w:bCs w:val="0"/>
          <w:color w:val="auto"/>
          <w:kern w:val="2"/>
          <w:sz w:val="24"/>
          <w:szCs w:val="24"/>
          <w:lang w:val="en-US" w:eastAsia="zh-CN" w:bidi="ar-SA"/>
        </w:rPr>
        <w:t>1.1 根据相关法律制度，结合采购项目特点制定本评标办法。</w:t>
      </w:r>
    </w:p>
    <w:p w14:paraId="7752B7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1.2 评标工作由招标代理机构负责组织，具体评标事务由招标代理机构依法组建的评标委员会负责。评标委员会由招标人代表和有关技术、经济、法律等方面的专家组成。</w:t>
      </w:r>
    </w:p>
    <w:p w14:paraId="5F40009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1.3 评标工作应遵循公平、公正、科学及择优的原则，并以相同的评标程序和标准对待所有的投标人。</w:t>
      </w:r>
    </w:p>
    <w:p w14:paraId="55292CF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1.4 评标委员会按照招标文件规定的评标方法和标准进行评标，并独立履行下列职责：</w:t>
      </w:r>
    </w:p>
    <w:p w14:paraId="47B4399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（一）熟悉和理解招标文件；</w:t>
      </w:r>
    </w:p>
    <w:p w14:paraId="2A7138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（二）审查投标人投标文件等是否满足招标文件要求，并作出评价；</w:t>
      </w:r>
    </w:p>
    <w:p w14:paraId="2816A5B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（三）根据需要要求招标采购单位对招标文件作出解释；根据需要要求投标人对投标文件有关事项作出澄清、说明或者更正；</w:t>
      </w:r>
    </w:p>
    <w:p w14:paraId="21B4D05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（四）推荐中标候选投标人，或者受招标人委托确定中标人；</w:t>
      </w:r>
    </w:p>
    <w:p w14:paraId="17E6A7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（五）起草评标报告并进行签署；</w:t>
      </w:r>
    </w:p>
    <w:p w14:paraId="231272E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（六）向招标采购单位或者其他监督部门报告非法干预评标工作的行为；</w:t>
      </w:r>
    </w:p>
    <w:p w14:paraId="463AA3E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（七）法律、法规和规章规定的其他职责。</w:t>
      </w:r>
    </w:p>
    <w:p w14:paraId="437E87A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1.5 评标过程独立、保密。投标人非法干预评标过程的行为将导致其投标文件作为无效处理。</w:t>
      </w:r>
    </w:p>
    <w:p w14:paraId="4E6253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仿宋"/>
          <w:color w:val="auto"/>
          <w:sz w:val="24"/>
          <w:highlight w:val="none"/>
        </w:rPr>
      </w:pPr>
      <w:r>
        <w:rPr>
          <w:rFonts w:hint="eastAsia" w:ascii="仿宋" w:hAnsi="仿宋" w:eastAsia="仿宋" w:cs="Times New Roman"/>
          <w:b w:val="0"/>
          <w:bCs w:val="0"/>
          <w:color w:val="auto"/>
          <w:kern w:val="2"/>
          <w:sz w:val="24"/>
          <w:szCs w:val="24"/>
          <w:lang w:val="en-US" w:eastAsia="zh-CN" w:bidi="ar-SA"/>
        </w:rPr>
        <w:t>1.6 评标委员会评价投标文件的响应性，对于投标人而言，除评标委员会要求其澄清、说明或者更正而提供的资料外，仅依据投标文件本身的内容，不寻求其他外部证据。</w:t>
      </w:r>
    </w:p>
    <w:p w14:paraId="0C34EBD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8" w:name="_Toc1699"/>
      <w:bookmarkStart w:id="439" w:name="_Toc3706"/>
      <w:r>
        <w:rPr>
          <w:rFonts w:hint="eastAsia" w:ascii="仿宋" w:hAnsi="仿宋" w:eastAsia="仿宋" w:cs="Times New Roman"/>
          <w:b/>
          <w:bCs/>
          <w:color w:val="auto"/>
          <w:sz w:val="28"/>
          <w:szCs w:val="28"/>
          <w:lang w:val="en-US" w:eastAsia="zh-CN"/>
        </w:rPr>
        <w:t>二、评标</w:t>
      </w:r>
      <w:bookmarkEnd w:id="436"/>
      <w:r>
        <w:rPr>
          <w:rFonts w:hint="eastAsia" w:ascii="仿宋" w:hAnsi="仿宋" w:eastAsia="仿宋" w:cs="Times New Roman"/>
          <w:b/>
          <w:bCs/>
          <w:color w:val="auto"/>
          <w:sz w:val="28"/>
          <w:szCs w:val="28"/>
          <w:lang w:val="en-US" w:eastAsia="zh-CN"/>
        </w:rPr>
        <w:t>方法</w:t>
      </w:r>
      <w:bookmarkEnd w:id="437"/>
      <w:bookmarkEnd w:id="438"/>
      <w:bookmarkEnd w:id="439"/>
    </w:p>
    <w:p w14:paraId="095DBDC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bookmarkStart w:id="440" w:name="_Toc217446103"/>
      <w:bookmarkStart w:id="441" w:name="_Toc217446099"/>
      <w:r>
        <w:rPr>
          <w:rFonts w:hint="eastAsia" w:ascii="仿宋" w:hAnsi="仿宋" w:eastAsia="仿宋"/>
          <w:color w:val="auto"/>
          <w:sz w:val="24"/>
        </w:rPr>
        <w:t>2.1本项目评标方法为：</w:t>
      </w:r>
      <w:r>
        <w:rPr>
          <w:rFonts w:hint="eastAsia" w:ascii="仿宋_GB2312" w:hAnsi="宋体" w:eastAsia="仿宋_GB2312"/>
          <w:color w:val="auto"/>
          <w:sz w:val="24"/>
          <w:highlight w:val="none"/>
          <w:lang w:eastAsia="zh-CN"/>
        </w:rPr>
        <w:t>综合评分法</w:t>
      </w:r>
    </w:p>
    <w:p w14:paraId="39EDB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2" w:name="_Toc79959393"/>
      <w:bookmarkStart w:id="443" w:name="_Toc5130"/>
      <w:bookmarkStart w:id="444" w:name="_Toc19515"/>
      <w:r>
        <w:rPr>
          <w:rFonts w:hint="eastAsia" w:ascii="仿宋" w:hAnsi="仿宋" w:eastAsia="仿宋" w:cs="Times New Roman"/>
          <w:b/>
          <w:bCs/>
          <w:color w:val="auto"/>
          <w:sz w:val="28"/>
          <w:szCs w:val="28"/>
          <w:lang w:val="en-US" w:eastAsia="zh-CN"/>
        </w:rPr>
        <w:t>三、评标程序</w:t>
      </w:r>
      <w:bookmarkEnd w:id="442"/>
      <w:bookmarkEnd w:id="443"/>
      <w:bookmarkEnd w:id="444"/>
    </w:p>
    <w:p w14:paraId="418B4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bookmarkStart w:id="445" w:name="_Toc79959394"/>
      <w:r>
        <w:rPr>
          <w:rFonts w:hint="eastAsia" w:ascii="仿宋" w:hAnsi="仿宋" w:eastAsia="仿宋" w:cs="Times New Roman"/>
          <w:b/>
          <w:bCs/>
          <w:color w:val="auto"/>
          <w:kern w:val="2"/>
          <w:sz w:val="24"/>
          <w:szCs w:val="24"/>
          <w:lang w:val="en-US" w:eastAsia="zh-CN" w:bidi="ar-SA"/>
        </w:rPr>
        <w:t>3.1熟悉和理解招标文件和停止评标。</w:t>
      </w:r>
    </w:p>
    <w:p w14:paraId="01EC019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3.1.1评标委员会正式评标前，应当对招标文件进行熟悉和理解，内容主要包括招标文件中投标人资格条件要求、采购项目技术、服务和商务要求、评标方法和标准以及可能涉及签订采购合同的内容等。</w:t>
      </w:r>
    </w:p>
    <w:p w14:paraId="44910F6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3.1.2评标委员会熟悉和理解招标文件以及评标过程中，发现本招标文件有下列情形之一的，评标委员会应当停止评标：</w:t>
      </w:r>
    </w:p>
    <w:p w14:paraId="308C047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（1）招标文件的规定存在歧义、重大缺陷的；</w:t>
      </w:r>
    </w:p>
    <w:p w14:paraId="2BE97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（2）招标文件明显以不合理条件对投标人实行差别待遇或者歧视待遇的；</w:t>
      </w:r>
    </w:p>
    <w:p w14:paraId="12A66D1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（3）采购项目属于国家规定的优先、强制采购范围，但是招标文件未依法体现优先、强制采购相关规定的；</w:t>
      </w:r>
    </w:p>
    <w:p w14:paraId="4A31AB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（4）招标文件规定的评标方法是综合评分法、最低评标价法之外的评标方法，或者虽然名称为综合评分法、最低评标价法，但实际上不符合国家规定；</w:t>
      </w:r>
    </w:p>
    <w:p w14:paraId="5686740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（5）招标文件将投标人的资格条件列为评分因素的；</w:t>
      </w:r>
    </w:p>
    <w:p w14:paraId="75ACD6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（6）招标文件有违反国家其他有关强制性规定的情形。</w:t>
      </w:r>
    </w:p>
    <w:p w14:paraId="754023B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3.1.3出现本条3.1.2规定应当停止评标情形的，评标委员会成员应当向招标采购单位书面说明情况。除本条规定和评标委员会无法依法组建的情形外，评标委员会成员不得以任何方式和理由停止评标。</w:t>
      </w:r>
    </w:p>
    <w:p w14:paraId="242011A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出现本条规定应当停止评审情形的，招标采购单位应当书面告知参加采购活动的投标人，并说明具体原因，同时在采购招标信息服务平台（http://www.sccgpt.com）、富顺县中医医院官网（http://www.fsxzyyy.com/）发布公告。</w:t>
      </w:r>
    </w:p>
    <w:p w14:paraId="5E82C0C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3.2资格性检查。</w:t>
      </w:r>
    </w:p>
    <w:p w14:paraId="1897C7F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开标会结束后，</w:t>
      </w:r>
      <w:r>
        <w:rPr>
          <w:rFonts w:hint="eastAsia" w:ascii="仿宋" w:hAnsi="仿宋" w:eastAsia="仿宋" w:cs="仿宋"/>
          <w:b/>
          <w:bCs/>
          <w:color w:val="auto"/>
          <w:kern w:val="2"/>
          <w:sz w:val="24"/>
          <w:szCs w:val="24"/>
          <w:lang w:val="en-US" w:eastAsia="zh-CN" w:bidi="ar-SA"/>
        </w:rPr>
        <w:t>评标委员</w:t>
      </w:r>
      <w:r>
        <w:rPr>
          <w:rFonts w:hint="eastAsia" w:ascii="仿宋" w:hAnsi="仿宋" w:eastAsia="仿宋" w:cs="仿宋"/>
          <w:b w:val="0"/>
          <w:bCs w:val="0"/>
          <w:color w:val="auto"/>
          <w:kern w:val="2"/>
          <w:sz w:val="24"/>
          <w:szCs w:val="24"/>
          <w:lang w:val="en-US" w:eastAsia="zh-CN" w:bidi="ar-SA"/>
        </w:rPr>
        <w:t>会</w:t>
      </w:r>
      <w:r>
        <w:rPr>
          <w:rFonts w:hint="eastAsia" w:ascii="仿宋" w:hAnsi="仿宋" w:eastAsia="仿宋" w:cs="Times New Roman"/>
          <w:b w:val="0"/>
          <w:bCs w:val="0"/>
          <w:color w:val="auto"/>
          <w:kern w:val="2"/>
          <w:sz w:val="24"/>
          <w:szCs w:val="24"/>
          <w:lang w:val="en-US" w:eastAsia="zh-CN" w:bidi="ar-SA"/>
        </w:rPr>
        <w:t>应依据法律法规和本招标文件的规定，并做好相关记录及取证，对投标文件是否按照规定要求提供资格性证明材料</w:t>
      </w:r>
      <w:r>
        <w:rPr>
          <w:rFonts w:hint="eastAsia" w:ascii="仿宋_GB2312" w:hAnsi="仿宋_GB2312" w:eastAsia="仿宋_GB2312" w:cs="仿宋_GB2312"/>
          <w:color w:val="auto"/>
          <w:sz w:val="24"/>
          <w:highlight w:val="none"/>
        </w:rPr>
        <w:t>、</w:t>
      </w:r>
      <w:r>
        <w:rPr>
          <w:rFonts w:hint="eastAsia" w:ascii="仿宋" w:hAnsi="仿宋" w:eastAsia="仿宋" w:cs="Times New Roman"/>
          <w:b w:val="0"/>
          <w:bCs w:val="0"/>
          <w:color w:val="auto"/>
          <w:kern w:val="2"/>
          <w:sz w:val="24"/>
          <w:szCs w:val="24"/>
          <w:lang w:val="en-US" w:eastAsia="zh-CN" w:bidi="ar-SA"/>
        </w:rPr>
        <w:t>是否属于禁止参加投标的投标人等进行审查，以确定投标人是否具备投标资格。</w:t>
      </w:r>
    </w:p>
    <w:p w14:paraId="2C9AEA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 xml:space="preserve">合格投标人不足3家的，不得评标。 </w:t>
      </w:r>
    </w:p>
    <w:p w14:paraId="4C1935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3.3符合性检查。</w:t>
      </w:r>
    </w:p>
    <w:p w14:paraId="1A1B2C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4C38F7D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3.3.2投标文件（包括单独递交的开标一览表）有下列情形的，本项目不作为实质性要求进行规定，即不作为符合性审查事项，不得作为无效投标处理：</w:t>
      </w:r>
    </w:p>
    <w:p w14:paraId="15B6CC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（一）正副本数量齐全、密封完好，只是未按照招标文件要求进行分装或者统装的；</w:t>
      </w:r>
    </w:p>
    <w:p w14:paraId="521595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（二）存在个别地方（不超过2个）没有法定代表人签字，但有法定代表人的私人印章或者有效授权代理人签字的；</w:t>
      </w:r>
    </w:p>
    <w:p w14:paraId="741594A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（三）除招标文件明确要求加盖单位(法人)公章的以外，其他地方以相关专用章加盖的；</w:t>
      </w:r>
    </w:p>
    <w:p w14:paraId="70EAA47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b w:val="0"/>
          <w:color w:val="auto"/>
          <w:sz w:val="24"/>
          <w:szCs w:val="24"/>
          <w:highlight w:val="none"/>
          <w:lang w:val="zh-CN" w:eastAsia="zh-CN"/>
        </w:rPr>
      </w:pPr>
      <w:r>
        <w:rPr>
          <w:rFonts w:hint="eastAsia" w:ascii="仿宋" w:hAnsi="仿宋" w:eastAsia="仿宋"/>
          <w:b w:val="0"/>
          <w:color w:val="auto"/>
          <w:sz w:val="24"/>
          <w:szCs w:val="24"/>
          <w:highlight w:val="none"/>
          <w:lang w:val="zh-CN" w:eastAsia="zh-CN"/>
        </w:rPr>
        <w:t>（</w:t>
      </w:r>
      <w:r>
        <w:rPr>
          <w:rFonts w:hint="eastAsia" w:ascii="仿宋" w:hAnsi="仿宋" w:eastAsia="仿宋"/>
          <w:b w:val="0"/>
          <w:color w:val="auto"/>
          <w:sz w:val="24"/>
          <w:szCs w:val="24"/>
          <w:highlight w:val="none"/>
          <w:lang w:eastAsia="zh-CN"/>
        </w:rPr>
        <w:t>4</w:t>
      </w:r>
      <w:r>
        <w:rPr>
          <w:rFonts w:hint="eastAsia" w:ascii="仿宋" w:hAnsi="仿宋" w:eastAsia="仿宋"/>
          <w:b w:val="0"/>
          <w:color w:val="auto"/>
          <w:sz w:val="24"/>
          <w:szCs w:val="24"/>
          <w:highlight w:val="none"/>
          <w:lang w:val="zh-CN" w:eastAsia="zh-CN"/>
        </w:rPr>
        <w:t>）</w:t>
      </w:r>
      <w:r>
        <w:rPr>
          <w:rFonts w:hint="eastAsia" w:ascii="仿宋" w:hAnsi="仿宋" w:eastAsia="仿宋" w:cs="仿宋"/>
          <w:bCs/>
          <w:color w:val="auto"/>
          <w:sz w:val="24"/>
          <w:szCs w:val="24"/>
          <w:highlight w:val="none"/>
          <w:lang w:val="zh-CN"/>
        </w:rPr>
        <w:t>以骑缝章的形式代替投标文件内容逐页盖章的（但是骑缝章模糊不清，印章名称无法辨认的除外）。</w:t>
      </w:r>
    </w:p>
    <w:p w14:paraId="6D31E1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（五）其他不影响采购项目实质性要求的情形。</w:t>
      </w:r>
    </w:p>
    <w:p w14:paraId="5C2983F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3.3.3本项目投标人或者其投标文件有下列情形之一的，作为无效投标处理：</w:t>
      </w:r>
    </w:p>
    <w:p w14:paraId="4BE3CF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（一）投标文件正副本数量不足的；</w:t>
      </w:r>
    </w:p>
    <w:p w14:paraId="0C17A80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（二）投标文件组成明显不符合招标文件的规定要求，影响评标委员会评判的；</w:t>
      </w:r>
    </w:p>
    <w:p w14:paraId="58858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（三）投标文件的格式、语言、计量单位、报价货币、知识产权、投标有效期等不符合招标文件的规定，影响评标委员会评判的；</w:t>
      </w:r>
    </w:p>
    <w:p w14:paraId="0AFE45D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（四）投标报价不符合招标文件规定的采购预算或限价或其他报价规定的；</w:t>
      </w:r>
    </w:p>
    <w:p w14:paraId="653232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（五）商务、技术、服务应答内容没有完全响应招标文件的实质性要求的；</w:t>
      </w:r>
    </w:p>
    <w:p w14:paraId="3A6BB6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（六）未载明或者载明的招标项目履约时间、方式、数量及其他采购合同实质性内容与招标文件要求不一致，且招标采购单位无法接受的。</w:t>
      </w:r>
    </w:p>
    <w:p w14:paraId="19DA507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3.4比较与评价。</w:t>
      </w:r>
      <w:r>
        <w:rPr>
          <w:rFonts w:hint="eastAsia" w:ascii="仿宋" w:hAnsi="仿宋" w:eastAsia="仿宋" w:cs="Times New Roman"/>
          <w:b w:val="0"/>
          <w:bCs w:val="0"/>
          <w:color w:val="auto"/>
          <w:kern w:val="2"/>
          <w:sz w:val="24"/>
          <w:szCs w:val="24"/>
          <w:lang w:val="en-US" w:eastAsia="zh-CN" w:bidi="ar-SA"/>
        </w:rPr>
        <w:t>按招标文件中规定的评标方法和标准，对未作无效投标处理的投标文件进行技术、服务、商务等方面评估，综合比较与评价。</w:t>
      </w:r>
    </w:p>
    <w:p w14:paraId="3C4C1FE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3.5复核。</w:t>
      </w:r>
      <w:r>
        <w:rPr>
          <w:rFonts w:hint="eastAsia" w:ascii="仿宋" w:hAnsi="仿宋" w:eastAsia="仿宋" w:cs="仿宋"/>
          <w:color w:val="auto"/>
          <w:sz w:val="24"/>
          <w:highlight w:val="none"/>
        </w:rPr>
        <w:t>评分汇总结束后，评标委员会应当进行复核，特别要对拟推荐为中标候选</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的、报价最低的、投标文件被认定为无效的进行重点复核。</w:t>
      </w:r>
    </w:p>
    <w:p w14:paraId="34D7B7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3.6推荐中标候选人。</w:t>
      </w:r>
    </w:p>
    <w:p w14:paraId="171719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中标候选人应当排序。</w:t>
      </w:r>
      <w:r>
        <w:rPr>
          <w:rFonts w:hint="eastAsia" w:ascii="仿宋_GB2312" w:hAnsi="仿宋_GB2312" w:eastAsia="仿宋_GB2312" w:cs="仿宋_GB2312"/>
          <w:color w:val="auto"/>
          <w:sz w:val="24"/>
          <w:highlight w:val="none"/>
        </w:rPr>
        <w:t>采用综合评分法的，评标结果按评审后得分由高到低顺序排列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得分相同的，按投标报价由低到高顺序排列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得分且投标报价相同的并列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投标文件满足招标文件全部实质性要求且按照评审因素的量化指标评审得分最高的</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为</w:t>
      </w:r>
      <w:r>
        <w:rPr>
          <w:rFonts w:hint="eastAsia" w:ascii="仿宋_GB2312" w:hAnsi="仿宋_GB2312" w:eastAsia="仿宋_GB2312" w:cs="仿宋_GB2312"/>
          <w:color w:val="auto"/>
          <w:sz w:val="24"/>
          <w:highlight w:val="none"/>
          <w:lang w:eastAsia="zh-CN"/>
        </w:rPr>
        <w:t>排名第一的</w:t>
      </w:r>
      <w:r>
        <w:rPr>
          <w:rFonts w:hint="eastAsia" w:ascii="仿宋_GB2312" w:hAnsi="仿宋_GB2312" w:eastAsia="仿宋_GB2312" w:cs="仿宋_GB2312"/>
          <w:color w:val="auto"/>
          <w:sz w:val="24"/>
          <w:highlight w:val="none"/>
        </w:rPr>
        <w:t>中标候选</w:t>
      </w:r>
      <w:r>
        <w:rPr>
          <w:rFonts w:hint="eastAsia" w:ascii="仿宋_GB2312" w:hAnsi="仿宋_GB2312" w:eastAsia="仿宋_GB2312" w:cs="仿宋_GB2312"/>
          <w:color w:val="auto"/>
          <w:sz w:val="24"/>
          <w:highlight w:val="none"/>
          <w:lang w:eastAsia="zh-CN"/>
        </w:rPr>
        <w:t>人。</w:t>
      </w:r>
      <w:r>
        <w:rPr>
          <w:rFonts w:hint="eastAsia" w:ascii="仿宋_GB2312" w:hAnsi="仿宋_GB2312" w:eastAsia="仿宋_GB2312" w:cs="仿宋_GB2312"/>
          <w:color w:val="auto"/>
          <w:sz w:val="24"/>
          <w:highlight w:val="none"/>
        </w:rPr>
        <w:t>报价相同且满足招标文件全部实质性要求且按照评审因素的量化指标评审得分也相同的并列，</w:t>
      </w:r>
      <w:r>
        <w:rPr>
          <w:rFonts w:hint="eastAsia" w:ascii="仿宋_GB2312" w:hAnsi="仿宋_GB2312" w:eastAsia="仿宋_GB2312" w:cs="仿宋_GB2312"/>
          <w:color w:val="auto"/>
          <w:sz w:val="24"/>
          <w:highlight w:val="none"/>
          <w:lang w:eastAsia="zh-CN"/>
        </w:rPr>
        <w:t>应当由招标人</w:t>
      </w:r>
      <w:r>
        <w:rPr>
          <w:rFonts w:hint="eastAsia" w:ascii="仿宋" w:hAnsi="仿宋" w:eastAsia="仿宋"/>
          <w:b w:val="0"/>
          <w:bCs w:val="0"/>
          <w:color w:val="auto"/>
          <w:sz w:val="24"/>
          <w:highlight w:val="none"/>
          <w:lang w:eastAsia="zh-CN"/>
        </w:rPr>
        <w:t>通过抽签的方式确定排序</w:t>
      </w:r>
      <w:r>
        <w:rPr>
          <w:rFonts w:hint="eastAsia" w:ascii="仿宋" w:hAnsi="仿宋" w:eastAsia="仿宋"/>
          <w:color w:val="auto"/>
          <w:sz w:val="24"/>
          <w:highlight w:val="none"/>
          <w:lang w:eastAsia="zh-CN"/>
        </w:rPr>
        <w:t>。</w:t>
      </w:r>
    </w:p>
    <w:p w14:paraId="3843924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推荐的中标候选人数量根据招标文件和评审情况的规定确定。评标委员会可推荐的中标候选人数量满足法定要求，但不能满足招标文件规定的数量的，应当在获得招标人书面同意后，可以根据评审情况推荐中标候选人。未获得招标人的书面同意，评标委员会不得在招标文件规定以外推荐中标候选人，否则，招标人可以不予认可。</w:t>
      </w:r>
    </w:p>
    <w:p w14:paraId="50D8047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3.7出具评标报告。</w:t>
      </w:r>
      <w:r>
        <w:rPr>
          <w:rFonts w:hint="eastAsia" w:ascii="仿宋" w:hAnsi="仿宋" w:eastAsia="仿宋" w:cs="Times New Roman"/>
          <w:b w:val="0"/>
          <w:bCs w:val="0"/>
          <w:color w:val="auto"/>
          <w:kern w:val="2"/>
          <w:sz w:val="24"/>
          <w:szCs w:val="24"/>
          <w:lang w:val="en-US" w:eastAsia="zh-CN" w:bidi="ar-SA"/>
        </w:rPr>
        <w:t>评标委员会推荐中标候选人后，应当向招标采购单位出具评标报告。评标报告应当包括下列内容：</w:t>
      </w:r>
    </w:p>
    <w:p w14:paraId="1FDFE9F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（一）招标公告刊登的媒体名称、开标日期和地点；</w:t>
      </w:r>
    </w:p>
    <w:p w14:paraId="4B29233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（二）获取招标文件的投标人名单和评标委员会成员名单；</w:t>
      </w:r>
    </w:p>
    <w:p w14:paraId="0B07825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（三）评标方法和标准；</w:t>
      </w:r>
    </w:p>
    <w:p w14:paraId="2E7208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（四）开标记录和评标情况及说明，包括无效投标人名单及原因；</w:t>
      </w:r>
    </w:p>
    <w:p w14:paraId="1987BA2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（五）评标结果和中标候选人排序表；</w:t>
      </w:r>
    </w:p>
    <w:p w14:paraId="5D2410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（六）评标委员会授标建议；</w:t>
      </w:r>
    </w:p>
    <w:p w14:paraId="443828C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（七）报价最高的投标人为中标候选人的，评标委员会应当对其报价的合理性予以特别说明。</w:t>
      </w:r>
    </w:p>
    <w:p w14:paraId="1408618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3CA0DA0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3.8评标争议处理规则。</w:t>
      </w:r>
    </w:p>
    <w:p w14:paraId="7DECEF3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审过程中，对于资格性审查、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w:t>
      </w:r>
    </w:p>
    <w:p w14:paraId="086FE5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3.9投标人应当书面澄清、说明或者更正。</w:t>
      </w:r>
    </w:p>
    <w:p w14:paraId="11D36B0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3.9.1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2A9E8F0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3.9.2投标人应当书面澄清、说明或者更正，并加盖公章或签字确认（投标人为法人的，应当由其法定代表人或者代理人签字确认；投标人为其他组织的，应当由其单位负责人或者代理人签字确认；投标人为自然人的，应当由其本人或者代理人签字确认），否则无效。澄清、说明或者更正不影响投标文件的效力，有效的澄清、说明或者更正材料，是投标文件的组成部分。</w:t>
      </w:r>
    </w:p>
    <w:p w14:paraId="03AED4C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3.9.3评标委员会要求投标人澄清、说明或者更正，不得超出招标文件的范围，不得以此让投标人实质改变投标文件的内容，不得影响投标人公平竞争。本项目下列内容不得澄清：</w:t>
      </w:r>
    </w:p>
    <w:p w14:paraId="29D88BC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（一）按相关规定应当在评标时不予承认的投标文件内容事项；</w:t>
      </w:r>
    </w:p>
    <w:p w14:paraId="5D2E7C0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（二）投标文件中已经明确的内容事项。</w:t>
      </w:r>
    </w:p>
    <w:p w14:paraId="72B20ED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3.9.4 投标文件报价出现前后不一致的，除招标文件另有规定外，按照下列规定修正：</w:t>
      </w:r>
    </w:p>
    <w:p w14:paraId="221FFA3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（一）投标文件中开标一览表（报价表）内容与投标文件中相应内容不一致的，以开标一览表（报价表）为准；</w:t>
      </w:r>
    </w:p>
    <w:p w14:paraId="6294101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（二）大写金额和小写金额不一致的，以大写金额为准；</w:t>
      </w:r>
    </w:p>
    <w:p w14:paraId="5E30AAE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（三）单价金额小数点或者百分比有明显错位的，以开标一览表的总价为准，并修改单价；</w:t>
      </w:r>
    </w:p>
    <w:p w14:paraId="5D042B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（四）总价金额与按单价汇总金额不一致的，以单价金额计算结果为准。</w:t>
      </w:r>
    </w:p>
    <w:p w14:paraId="07D1BED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同时出现两种以上不一致的，按照前款规定的顺序修正。修正后的报价按照本章3.9.2-3.9.3的规定经投标人确认后产生约束力，投标人不确认的，其投标无效。</w:t>
      </w:r>
    </w:p>
    <w:p w14:paraId="63D242C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注：评标委员会应当积极履行澄清、说明或者更正的职责，不得滥用权力。投标人的投标文件可以要求澄清、说明或者更正的，不得未经澄清、说明或者更正而直接作无效投标处理。</w:t>
      </w:r>
      <w:r>
        <w:rPr>
          <w:rFonts w:hint="eastAsia" w:ascii="仿宋" w:hAnsi="仿宋" w:eastAsia="仿宋" w:cs="Times New Roman"/>
          <w:b w:val="0"/>
          <w:bCs w:val="0"/>
          <w:color w:val="auto"/>
          <w:kern w:val="2"/>
          <w:sz w:val="24"/>
          <w:szCs w:val="24"/>
          <w:lang w:val="en-US" w:eastAsia="zh-CN" w:bidi="ar-SA"/>
        </w:rPr>
        <w:t xml:space="preserve">  </w:t>
      </w:r>
    </w:p>
    <w:p w14:paraId="3EB27DF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3.10 低于成本价投标处理。</w:t>
      </w:r>
      <w:r>
        <w:rPr>
          <w:rFonts w:hint="eastAsia" w:ascii="仿宋" w:hAnsi="仿宋" w:eastAsia="仿宋" w:cs="Times New Roman"/>
          <w:b w:val="0"/>
          <w:bCs w:val="0"/>
          <w:color w:val="auto"/>
          <w:kern w:val="2"/>
          <w:sz w:val="24"/>
          <w:szCs w:val="24"/>
          <w:lang w:val="en-US" w:eastAsia="zh-CN" w:bidi="ar-SA"/>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0FE715F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书面说明应当签字确认或者加盖公章，否则无效。书面说明的签字确认，投标人为法人的，由其法定代表人或者代理人签字确认；投标人为其他组织的，由其单位负责人或者代理人签字确认；投标人为自然人的，由其本人或者代理人签字确认。</w:t>
      </w:r>
    </w:p>
    <w:p w14:paraId="3D51292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作为无效处理。</w:t>
      </w:r>
    </w:p>
    <w:p w14:paraId="059B5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3.11 招标采购单位现场复核评标结果。</w:t>
      </w:r>
    </w:p>
    <w:p w14:paraId="4AF96A8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评标结果汇总完成后，评标委员会拟出具评标报告前，招标采购单位应当组织2名以上的本单位工作人员，在采购现场监督人员的监督之下，依据有关的法律制度和招标文件对评标结果进行复核，出具复核报告。</w:t>
      </w:r>
    </w:p>
    <w:p w14:paraId="169D63C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除下列情形外，任何人不得修改评标结果：</w:t>
      </w:r>
    </w:p>
    <w:p w14:paraId="4B613B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（一）分值汇总计算错误的；</w:t>
      </w:r>
    </w:p>
    <w:p w14:paraId="43DA966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（二）分项评分超出评分标准范围的；</w:t>
      </w:r>
    </w:p>
    <w:p w14:paraId="5DE2515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（三）评标委员会成员对客观评审因素评分不一致的；</w:t>
      </w:r>
    </w:p>
    <w:p w14:paraId="5DDE7E1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（四）经评标委员会认定评分畸高畸低的。</w:t>
      </w:r>
    </w:p>
    <w:p w14:paraId="462A820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标报告签署前，经复核发现存在以上情形之一的，评标委员会应当当场修改评标结果，并在评标报告中记载；评标报告签署后，招标人或者招标代理机构发现存在以上情形之一的，应当组织原评标委员会进行重新评审。</w:t>
      </w:r>
    </w:p>
    <w:p w14:paraId="22C664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投标人对本条第一款情形提出质疑的，招标人或者招标代理机构可以组织原评标委员会进行重新评审。</w:t>
      </w:r>
    </w:p>
    <w:p w14:paraId="5A5DB56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6" w:name="_Toc13678"/>
      <w:bookmarkStart w:id="447" w:name="_Toc8031"/>
      <w:r>
        <w:rPr>
          <w:rFonts w:hint="eastAsia" w:ascii="仿宋" w:hAnsi="仿宋" w:eastAsia="仿宋" w:cs="Times New Roman"/>
          <w:b/>
          <w:bCs/>
          <w:color w:val="auto"/>
          <w:sz w:val="28"/>
          <w:szCs w:val="28"/>
          <w:lang w:val="en-US" w:eastAsia="zh-CN"/>
        </w:rPr>
        <w:t>四、评标细则及标准</w:t>
      </w:r>
      <w:bookmarkEnd w:id="440"/>
      <w:bookmarkEnd w:id="445"/>
      <w:bookmarkEnd w:id="446"/>
      <w:bookmarkEnd w:id="447"/>
    </w:p>
    <w:p w14:paraId="4A1E1C7C">
      <w:pPr>
        <w:pStyle w:val="9"/>
        <w:pageBreakBefore w:val="0"/>
        <w:widowControl w:val="0"/>
        <w:tabs>
          <w:tab w:val="left" w:pos="600"/>
        </w:tabs>
        <w:kinsoku/>
        <w:wordWrap/>
        <w:overflowPunct/>
        <w:topLinePunct w:val="0"/>
        <w:bidi w:val="0"/>
        <w:snapToGrid/>
        <w:spacing w:before="0" w:after="0" w:line="360" w:lineRule="auto"/>
        <w:ind w:firstLine="482" w:firstLineChars="200"/>
        <w:textAlignment w:val="auto"/>
        <w:outlineLvl w:val="9"/>
        <w:rPr>
          <w:rFonts w:hint="eastAsia" w:ascii="仿宋" w:hAnsi="仿宋" w:eastAsia="仿宋"/>
          <w:b/>
          <w:bCs/>
          <w:color w:val="auto"/>
          <w:szCs w:val="24"/>
        </w:rPr>
      </w:pPr>
      <w:r>
        <w:rPr>
          <w:rFonts w:hint="eastAsia" w:ascii="仿宋" w:hAnsi="仿宋" w:eastAsia="仿宋"/>
          <w:b/>
          <w:bCs/>
          <w:color w:val="auto"/>
          <w:szCs w:val="24"/>
        </w:rPr>
        <w:t>4.1本次综合评分的因素是：详见本章节综合评分明细表。</w:t>
      </w:r>
    </w:p>
    <w:p w14:paraId="172710FD">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 评标委员会成员应当根据自身专业情况对每个有效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的投标文件进行独立评分，加权汇总每项评分因素的得分，得出每个有效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的总分。</w:t>
      </w:r>
    </w:p>
    <w:p w14:paraId="08B7FC2D">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ascii="仿宋" w:hAnsi="仿宋" w:eastAsia="仿宋"/>
          <w:color w:val="auto"/>
          <w:szCs w:val="24"/>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综合评分明细表</w:t>
      </w:r>
    </w:p>
    <w:p w14:paraId="314B7BDD">
      <w:pPr>
        <w:pageBreakBefore w:val="0"/>
        <w:widowControl w:val="0"/>
        <w:kinsoku/>
        <w:wordWrap/>
        <w:overflowPunct/>
        <w:topLinePunct w:val="0"/>
        <w:bidi w:val="0"/>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4.</w:t>
      </w:r>
      <w:r>
        <w:rPr>
          <w:rFonts w:hint="eastAsia" w:ascii="仿宋" w:hAnsi="仿宋" w:eastAsia="仿宋"/>
          <w:color w:val="auto"/>
          <w:sz w:val="24"/>
          <w:lang w:val="en-US" w:eastAsia="zh-CN"/>
        </w:rPr>
        <w:t>3</w:t>
      </w:r>
      <w:r>
        <w:rPr>
          <w:rFonts w:hint="eastAsia" w:ascii="仿宋" w:hAnsi="仿宋" w:eastAsia="仿宋"/>
          <w:color w:val="auto"/>
          <w:sz w:val="24"/>
        </w:rPr>
        <w:t>.</w:t>
      </w:r>
      <w:r>
        <w:rPr>
          <w:rFonts w:ascii="仿宋" w:hAnsi="仿宋" w:eastAsia="仿宋"/>
          <w:color w:val="auto"/>
          <w:sz w:val="24"/>
        </w:rPr>
        <w:t>1</w:t>
      </w:r>
      <w:r>
        <w:rPr>
          <w:rFonts w:hint="eastAsia" w:ascii="仿宋" w:hAnsi="仿宋" w:eastAsia="仿宋" w:cs="仿宋"/>
          <w:color w:val="auto"/>
          <w:sz w:val="24"/>
          <w:szCs w:val="24"/>
          <w:highlight w:val="none"/>
        </w:rPr>
        <w:t>综合评分明细表的制定以科学合理、降低评委会自由裁量权为原则。</w:t>
      </w:r>
    </w:p>
    <w:p w14:paraId="378FD40C">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olor w:val="auto"/>
          <w:szCs w:val="24"/>
          <w:lang w:eastAsia="zh-CN"/>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w:t>
      </w:r>
      <w:r>
        <w:rPr>
          <w:rFonts w:ascii="仿宋" w:hAnsi="仿宋" w:eastAsia="仿宋"/>
          <w:color w:val="auto"/>
          <w:szCs w:val="24"/>
        </w:rPr>
        <w:t>2</w:t>
      </w:r>
      <w:r>
        <w:rPr>
          <w:rFonts w:hint="eastAsia" w:ascii="仿宋" w:hAnsi="仿宋" w:eastAsia="仿宋"/>
          <w:color w:val="auto"/>
          <w:szCs w:val="24"/>
        </w:rPr>
        <w:t>综合评分明细表</w:t>
      </w:r>
      <w:r>
        <w:rPr>
          <w:rFonts w:hint="eastAsia" w:ascii="仿宋" w:hAnsi="仿宋" w:eastAsia="仿宋"/>
          <w:b/>
          <w:bCs/>
          <w:color w:val="auto"/>
          <w:szCs w:val="24"/>
          <w:lang w:eastAsia="zh-CN"/>
        </w:rPr>
        <w:t>（</w:t>
      </w:r>
      <w:r>
        <w:rPr>
          <w:rFonts w:hint="eastAsia" w:ascii="仿宋" w:hAnsi="仿宋" w:eastAsia="仿宋"/>
          <w:b/>
          <w:bCs/>
          <w:color w:val="auto"/>
          <w:szCs w:val="24"/>
          <w:lang w:val="en-US" w:eastAsia="zh-CN"/>
        </w:rPr>
        <w:t>各包相同</w:t>
      </w:r>
      <w:r>
        <w:rPr>
          <w:rFonts w:hint="eastAsia" w:ascii="仿宋" w:hAnsi="仿宋" w:eastAsia="仿宋"/>
          <w:b/>
          <w:bCs/>
          <w:color w:val="auto"/>
          <w:szCs w:val="24"/>
          <w:lang w:eastAsia="zh-CN"/>
        </w:rPr>
        <w:t>）</w:t>
      </w: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747"/>
        <w:gridCol w:w="528"/>
        <w:gridCol w:w="6309"/>
        <w:gridCol w:w="1738"/>
      </w:tblGrid>
      <w:tr w14:paraId="3273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6E43">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322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评分因数及权重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B0C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分值</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BC4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评分标准</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154E">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val="0"/>
                <w:bCs w:val="0"/>
                <w:color w:val="auto"/>
                <w:spacing w:val="-10"/>
                <w:sz w:val="24"/>
                <w:szCs w:val="24"/>
                <w:highlight w:val="none"/>
                <w:lang w:bidi="zh-CN"/>
              </w:rPr>
              <w:t>评审依据</w:t>
            </w:r>
          </w:p>
        </w:tc>
      </w:tr>
      <w:tr w14:paraId="033E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63A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344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报价40%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D3E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958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满足招标文件要求且价格最低的投标人投标报价为评标基准价，其价格分为满分。其他投标人的价格分统一按照下列公式计算：</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报价得分=（评标基准价÷投标报价）×40%×100。</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1241">
            <w:pPr>
              <w:widowControl/>
              <w:wordWrap w:val="0"/>
              <w:spacing w:line="360" w:lineRule="auto"/>
              <w:ind w:right="30" w:rightChars="0"/>
              <w:jc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color w:val="auto"/>
                <w:sz w:val="24"/>
                <w:szCs w:val="24"/>
                <w:highlight w:val="none"/>
                <w:lang w:eastAsia="zh-CN"/>
              </w:rPr>
              <w:t>以投标人提供的报价一览表为依据。</w:t>
            </w:r>
          </w:p>
        </w:tc>
      </w:tr>
      <w:tr w14:paraId="4DE0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5F8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EBB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项目实施方案30%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C4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0EE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根据投标人提供的针对本项目的项目实施方案（包含：①配送服务计划及响应时限；②公司内部管理制度；③备货方案；④人员配置安排方案；⑤项目服务质量保障措施及安全保障措施。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30分。每缺少一个部分扣6分，扣完为止，内容描述存在不完整、前后矛盾、不符合项目要求中任何一种情形或其他不足之处的，每有一处扣1分，每个部分最多扣6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64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5F07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AF2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BFE5">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售后服务方案25%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35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BCF8">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根据投标人提供的针对本项目的售后服务方案（包含：①售后服务体系；②不良事件处理方案；③短缺货/紧急采购应急处置流程；④退换货服务方案;⑤设备维护保养技术人员。</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25分。每缺少一个部分扣5分，扣完为止，内容描述存在不完整、前后矛盾、不符合项目要求中任何一种情形或其他不足之处的，每有一处扣1分，每个部分最多扣5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2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3D5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BE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40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同类业绩5%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6753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DEB66">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投标人自 2023年 1 月 1 日含（以签订合同时间为准）至今，每提供1个同类业绩的得2.5分，本项最多得5分。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注：提供项目合同复印件，并加盖投标人鲜章。</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B3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bl>
    <w:p w14:paraId="3A9B7363">
      <w:pPr>
        <w:keepNext w:val="0"/>
        <w:keepLines w:val="0"/>
        <w:pageBreakBefore w:val="0"/>
        <w:widowControl w:val="0"/>
        <w:kinsoku/>
        <w:wordWrap/>
        <w:overflowPunct/>
        <w:topLinePunct w:val="0"/>
        <w:autoSpaceDE/>
        <w:autoSpaceDN/>
        <w:bidi w:val="0"/>
        <w:adjustRightInd/>
        <w:snapToGrid/>
        <w:spacing w:after="0" w:line="360" w:lineRule="auto"/>
        <w:ind w:firstLine="360" w:firstLineChars="150"/>
        <w:textAlignment w:val="auto"/>
        <w:outlineLvl w:val="9"/>
        <w:rPr>
          <w:rFonts w:ascii="仿宋" w:hAnsi="仿宋" w:eastAsia="仿宋"/>
          <w:color w:val="auto"/>
          <w:sz w:val="24"/>
        </w:rPr>
      </w:pPr>
      <w:r>
        <w:rPr>
          <w:rFonts w:hint="eastAsia" w:ascii="仿宋" w:hAnsi="仿宋" w:eastAsia="仿宋"/>
          <w:color w:val="auto"/>
          <w:sz w:val="24"/>
        </w:rPr>
        <w:t>注： 评分的取值按四舍五入法，保留小数点后两位。</w:t>
      </w:r>
    </w:p>
    <w:p w14:paraId="76B1DA6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8" w:name="_Toc13609"/>
      <w:bookmarkStart w:id="449" w:name="_Toc79959395"/>
      <w:bookmarkStart w:id="450" w:name="_Toc15080"/>
      <w:bookmarkStart w:id="451" w:name="_Toc217446060"/>
      <w:r>
        <w:rPr>
          <w:rFonts w:hint="eastAsia" w:ascii="仿宋" w:hAnsi="仿宋" w:eastAsia="仿宋" w:cs="Times New Roman"/>
          <w:b/>
          <w:bCs/>
          <w:color w:val="auto"/>
          <w:sz w:val="28"/>
          <w:szCs w:val="28"/>
          <w:lang w:val="en-US" w:eastAsia="zh-CN"/>
        </w:rPr>
        <w:t>五、废 标</w:t>
      </w:r>
      <w:bookmarkEnd w:id="448"/>
      <w:bookmarkEnd w:id="449"/>
      <w:bookmarkEnd w:id="450"/>
    </w:p>
    <w:p w14:paraId="7AD7141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5.1本次采购活动中，出现下列情形之一的，予以废标：</w:t>
      </w:r>
    </w:p>
    <w:p w14:paraId="6D4E470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（1）符合专业条件的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或者对招标文件作实质响应的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不足三家的；</w:t>
      </w:r>
    </w:p>
    <w:p w14:paraId="1E7E9D7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（2）出现影响采购公正的违法、违规行为的；</w:t>
      </w:r>
    </w:p>
    <w:p w14:paraId="0BE9084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（3）投标人的报价均超过了采购预算，</w:t>
      </w:r>
      <w:r>
        <w:rPr>
          <w:rFonts w:hint="eastAsia" w:ascii="仿宋" w:hAnsi="仿宋" w:eastAsia="仿宋" w:cs="Times New Roman"/>
          <w:bCs w:val="0"/>
          <w:color w:val="auto"/>
          <w:sz w:val="24"/>
          <w:szCs w:val="24"/>
          <w:lang w:eastAsia="zh-CN"/>
        </w:rPr>
        <w:t>招标人</w:t>
      </w:r>
      <w:r>
        <w:rPr>
          <w:rFonts w:hint="eastAsia" w:ascii="仿宋" w:hAnsi="仿宋" w:eastAsia="仿宋" w:cs="Times New Roman"/>
          <w:bCs w:val="0"/>
          <w:color w:val="auto"/>
          <w:sz w:val="24"/>
          <w:szCs w:val="24"/>
        </w:rPr>
        <w:t>不能支付的；</w:t>
      </w:r>
    </w:p>
    <w:p w14:paraId="229AD290">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（4）因重大变故，采购任务取消的。</w:t>
      </w:r>
    </w:p>
    <w:p w14:paraId="00F2AF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废标后，</w:t>
      </w:r>
      <w:r>
        <w:rPr>
          <w:rFonts w:hint="eastAsia" w:ascii="仿宋" w:hAnsi="仿宋" w:eastAsia="仿宋" w:cs="Times New Roman"/>
          <w:bCs w:val="0"/>
          <w:color w:val="auto"/>
          <w:sz w:val="24"/>
          <w:szCs w:val="24"/>
          <w:lang w:eastAsia="zh-CN"/>
        </w:rPr>
        <w:t>招标代理机构</w:t>
      </w:r>
      <w:r>
        <w:rPr>
          <w:rFonts w:hint="eastAsia" w:ascii="仿宋" w:hAnsi="仿宋" w:eastAsia="仿宋" w:cs="Times New Roman"/>
          <w:bCs w:val="0"/>
          <w:color w:val="auto"/>
          <w:sz w:val="24"/>
          <w:szCs w:val="24"/>
        </w:rPr>
        <w:t>将在采购招标信息服务平台（http://www.sccgpt.com）</w:t>
      </w:r>
      <w:r>
        <w:rPr>
          <w:rFonts w:hint="eastAsia" w:ascii="仿宋" w:hAnsi="仿宋" w:eastAsia="仿宋" w:cs="Times New Roman"/>
          <w:bCs w:val="0"/>
          <w:color w:val="auto"/>
          <w:sz w:val="24"/>
          <w:szCs w:val="24"/>
          <w:lang w:eastAsia="zh-CN"/>
        </w:rPr>
        <w:t>、富顺县中医医院官网（http://www.fsxzyyy.com/）</w:t>
      </w:r>
      <w:r>
        <w:rPr>
          <w:rFonts w:hint="eastAsia" w:ascii="仿宋" w:hAnsi="仿宋" w:eastAsia="仿宋" w:cs="Times New Roman"/>
          <w:bCs w:val="0"/>
          <w:color w:val="auto"/>
          <w:sz w:val="24"/>
          <w:szCs w:val="24"/>
        </w:rPr>
        <w:t>上公告，并公告废标的情形。投标人需要知晓导致废标情形的具体原因和理由的，可以通过书面形式询问招标采购单位。</w:t>
      </w:r>
    </w:p>
    <w:p w14:paraId="27B204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olor w:val="auto"/>
          <w:sz w:val="24"/>
          <w:highlight w:val="none"/>
        </w:rPr>
        <w:t>5.2对于评标过程中废标的采购项目，评标委员会应当对招标文件是否存在倾向性和歧视性、是否存在不合理条款进行论证，并出具书面论证意见。</w:t>
      </w:r>
    </w:p>
    <w:p w14:paraId="5A43907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52" w:name="_Toc79959396"/>
      <w:bookmarkStart w:id="453" w:name="_Toc2100"/>
      <w:bookmarkStart w:id="454" w:name="_Toc15068"/>
      <w:r>
        <w:rPr>
          <w:rFonts w:hint="eastAsia" w:ascii="仿宋" w:hAnsi="仿宋" w:eastAsia="仿宋" w:cs="Times New Roman"/>
          <w:b/>
          <w:bCs/>
          <w:color w:val="auto"/>
          <w:sz w:val="28"/>
          <w:szCs w:val="28"/>
          <w:lang w:val="en-US" w:eastAsia="zh-CN"/>
        </w:rPr>
        <w:t>六、定标</w:t>
      </w:r>
      <w:bookmarkEnd w:id="451"/>
      <w:bookmarkEnd w:id="452"/>
      <w:bookmarkEnd w:id="453"/>
      <w:bookmarkEnd w:id="454"/>
      <w:bookmarkStart w:id="455" w:name="_Toc217446061"/>
    </w:p>
    <w:p w14:paraId="6641E00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rPr>
      </w:pPr>
      <w:r>
        <w:rPr>
          <w:rFonts w:hint="eastAsia" w:ascii="仿宋" w:hAnsi="仿宋" w:eastAsia="仿宋"/>
          <w:b/>
          <w:bCs/>
          <w:color w:val="auto"/>
          <w:sz w:val="24"/>
        </w:rPr>
        <w:t>6.1.定标原则</w:t>
      </w:r>
      <w:bookmarkEnd w:id="455"/>
      <w:r>
        <w:rPr>
          <w:rFonts w:hint="eastAsia" w:ascii="仿宋" w:hAnsi="仿宋" w:eastAsia="仿宋"/>
          <w:b/>
          <w:bCs/>
          <w:color w:val="auto"/>
          <w:sz w:val="24"/>
        </w:rPr>
        <w:t>：</w:t>
      </w:r>
    </w:p>
    <w:p w14:paraId="56F6BC6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方式一：</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将按</w:t>
      </w:r>
      <w:r>
        <w:rPr>
          <w:rFonts w:hint="eastAsia" w:ascii="仿宋" w:hAnsi="仿宋" w:eastAsia="仿宋"/>
          <w:bCs w:val="0"/>
          <w:color w:val="auto"/>
          <w:sz w:val="24"/>
          <w:szCs w:val="24"/>
          <w:lang w:eastAsia="zh-CN"/>
        </w:rPr>
        <w:t>评标委员会</w:t>
      </w:r>
      <w:r>
        <w:rPr>
          <w:rFonts w:hint="eastAsia" w:ascii="仿宋" w:hAnsi="仿宋" w:eastAsia="仿宋"/>
          <w:bCs w:val="0"/>
          <w:color w:val="auto"/>
          <w:sz w:val="24"/>
          <w:szCs w:val="24"/>
        </w:rPr>
        <w:t>推荐的</w:t>
      </w:r>
      <w:r>
        <w:rPr>
          <w:rFonts w:hint="eastAsia" w:ascii="仿宋" w:hAnsi="仿宋" w:eastAsia="仿宋"/>
          <w:bCs w:val="0"/>
          <w:color w:val="auto"/>
          <w:sz w:val="24"/>
          <w:szCs w:val="24"/>
          <w:lang w:eastAsia="zh-CN"/>
        </w:rPr>
        <w:t>中标候选人</w:t>
      </w:r>
      <w:r>
        <w:rPr>
          <w:rFonts w:hint="eastAsia" w:ascii="仿宋" w:hAnsi="仿宋" w:eastAsia="仿宋"/>
          <w:bCs w:val="0"/>
          <w:color w:val="auto"/>
          <w:sz w:val="24"/>
          <w:szCs w:val="24"/>
        </w:rPr>
        <w:t>顺序确定</w:t>
      </w:r>
      <w:r>
        <w:rPr>
          <w:rFonts w:hint="eastAsia" w:ascii="仿宋" w:hAnsi="仿宋" w:eastAsia="仿宋"/>
          <w:bCs w:val="0"/>
          <w:color w:val="auto"/>
          <w:sz w:val="24"/>
          <w:szCs w:val="24"/>
          <w:lang w:eastAsia="zh-CN"/>
        </w:rPr>
        <w:t>中标人</w:t>
      </w:r>
      <w:r>
        <w:rPr>
          <w:rFonts w:hint="eastAsia" w:ascii="仿宋" w:hAnsi="仿宋" w:eastAsia="仿宋"/>
          <w:bCs w:val="0"/>
          <w:color w:val="auto"/>
          <w:sz w:val="24"/>
          <w:szCs w:val="24"/>
        </w:rPr>
        <w:t>。</w:t>
      </w:r>
    </w:p>
    <w:p w14:paraId="423D106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bCs w:val="0"/>
          <w:color w:val="auto"/>
          <w:sz w:val="24"/>
          <w:szCs w:val="24"/>
          <w:lang w:val="en-US" w:eastAsia="zh-CN"/>
        </w:rPr>
      </w:pPr>
      <w:r>
        <w:rPr>
          <w:rFonts w:hint="eastAsia" w:ascii="仿宋" w:hAnsi="仿宋" w:eastAsia="仿宋"/>
          <w:bCs w:val="0"/>
          <w:color w:val="auto"/>
          <w:sz w:val="24"/>
          <w:szCs w:val="24"/>
        </w:rPr>
        <w:t>本项目采用方式一</w:t>
      </w:r>
      <w:r>
        <w:rPr>
          <w:rFonts w:hint="eastAsia" w:ascii="仿宋" w:hAnsi="仿宋" w:eastAsia="仿宋"/>
          <w:bCs w:val="0"/>
          <w:color w:val="auto"/>
          <w:sz w:val="24"/>
          <w:szCs w:val="24"/>
          <w:lang w:eastAsia="zh-CN"/>
        </w:rPr>
        <w:t>确定中标人</w:t>
      </w:r>
      <w:r>
        <w:rPr>
          <w:rFonts w:hint="eastAsia" w:ascii="仿宋" w:hAnsi="仿宋" w:eastAsia="仿宋"/>
          <w:bCs w:val="0"/>
          <w:color w:val="auto"/>
          <w:sz w:val="24"/>
          <w:szCs w:val="24"/>
        </w:rPr>
        <w:t>。</w:t>
      </w:r>
    </w:p>
    <w:bookmarkEnd w:id="441"/>
    <w:p w14:paraId="0CF1EBE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szCs w:val="24"/>
        </w:rPr>
      </w:pPr>
      <w:bookmarkStart w:id="456" w:name="_Toc183582297"/>
      <w:bookmarkStart w:id="457" w:name="_Toc183682432"/>
      <w:bookmarkStart w:id="458" w:name="_Toc217446105"/>
      <w:bookmarkStart w:id="459" w:name="_Toc208849022"/>
      <w:bookmarkStart w:id="460" w:name="_Toc79959397"/>
      <w:r>
        <w:rPr>
          <w:rFonts w:hint="eastAsia" w:ascii="仿宋" w:hAnsi="仿宋" w:eastAsia="仿宋"/>
          <w:b/>
          <w:bCs/>
          <w:color w:val="auto"/>
          <w:sz w:val="24"/>
          <w:szCs w:val="24"/>
        </w:rPr>
        <w:t>6.2 定标程序：</w:t>
      </w:r>
    </w:p>
    <w:p w14:paraId="04E18B42">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6.2.1 评标委员会将评标情况写出书面报告，确定中标候选人顺序。</w:t>
      </w:r>
    </w:p>
    <w:p w14:paraId="240A9E2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6.2.2 </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在评标结束后2个工作日内将评标报告送</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p>
    <w:p w14:paraId="03AC8A9E">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6.2.3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收到评标报告及有关资料后，将在5个工作日内按照评标报告中推荐的中标候选投标人顺序确定中标人。</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逾期未确定中标人且不提出异议的，视为确定评标报告提出的排序第一的投标人为中标人。</w:t>
      </w:r>
    </w:p>
    <w:p w14:paraId="31437E4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6.2.4 根据确定的中标人，</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在采购招标信息服务平台（http://www.sccgpt.com）</w:t>
      </w:r>
      <w:r>
        <w:rPr>
          <w:rFonts w:hint="eastAsia" w:ascii="仿宋" w:hAnsi="仿宋" w:eastAsia="仿宋"/>
          <w:bCs w:val="0"/>
          <w:color w:val="auto"/>
          <w:sz w:val="24"/>
          <w:szCs w:val="24"/>
          <w:lang w:eastAsia="zh-CN"/>
        </w:rPr>
        <w:t>、富顺县中医医院官网（http://www.fsxzyyy.com/）</w:t>
      </w:r>
      <w:r>
        <w:rPr>
          <w:rFonts w:hint="eastAsia" w:ascii="仿宋" w:hAnsi="仿宋" w:eastAsia="仿宋"/>
          <w:bCs w:val="0"/>
          <w:color w:val="auto"/>
          <w:sz w:val="24"/>
          <w:szCs w:val="24"/>
        </w:rPr>
        <w:t>发布中标公告，并向中标人发出中标通知书。</w:t>
      </w:r>
    </w:p>
    <w:p w14:paraId="2D98234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6.2.5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不退回投标人投标文件和其他投标资料。</w:t>
      </w:r>
    </w:p>
    <w:bookmarkEnd w:id="456"/>
    <w:bookmarkEnd w:id="457"/>
    <w:bookmarkEnd w:id="458"/>
    <w:bookmarkEnd w:id="459"/>
    <w:p w14:paraId="20F36F8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1" w:name="_Toc24207"/>
      <w:bookmarkStart w:id="462" w:name="_Toc20227"/>
      <w:r>
        <w:rPr>
          <w:rFonts w:hint="eastAsia" w:ascii="仿宋" w:hAnsi="仿宋" w:eastAsia="仿宋" w:cs="Times New Roman"/>
          <w:b/>
          <w:bCs/>
          <w:color w:val="auto"/>
          <w:sz w:val="28"/>
          <w:szCs w:val="28"/>
          <w:lang w:val="en-US" w:eastAsia="zh-CN"/>
        </w:rPr>
        <w:t>七、评标专家在采购活动中承担以下义务</w:t>
      </w:r>
      <w:bookmarkEnd w:id="460"/>
      <w:bookmarkEnd w:id="461"/>
      <w:bookmarkEnd w:id="462"/>
    </w:p>
    <w:p w14:paraId="4CC662F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7.1</w:t>
      </w:r>
      <w:r>
        <w:rPr>
          <w:rFonts w:hint="eastAsia" w:ascii="仿宋" w:hAnsi="仿宋" w:eastAsia="仿宋"/>
          <w:color w:val="auto"/>
          <w:sz w:val="24"/>
        </w:rPr>
        <w:t xml:space="preserve">遵守评审工作纪律； </w:t>
      </w:r>
    </w:p>
    <w:p w14:paraId="1ED3BB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7.2</w:t>
      </w:r>
      <w:r>
        <w:rPr>
          <w:rFonts w:hint="eastAsia" w:ascii="仿宋" w:hAnsi="仿宋" w:eastAsia="仿宋"/>
          <w:color w:val="auto"/>
          <w:sz w:val="24"/>
        </w:rPr>
        <w:t>按照客观、公正、审慎的原则，根据采购文件规定的评审程序、评审方法和评审标准进行独立评审；</w:t>
      </w:r>
    </w:p>
    <w:p w14:paraId="2F34C37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7.3</w:t>
      </w:r>
      <w:r>
        <w:rPr>
          <w:rFonts w:hint="eastAsia" w:ascii="仿宋" w:hAnsi="仿宋" w:eastAsia="仿宋"/>
          <w:color w:val="auto"/>
          <w:sz w:val="24"/>
        </w:rPr>
        <w:t>不得泄露评审文件、评审情况和在评审过程中获悉的商业秘密；</w:t>
      </w:r>
    </w:p>
    <w:p w14:paraId="03F32A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7.4</w:t>
      </w:r>
      <w:r>
        <w:rPr>
          <w:rFonts w:hint="eastAsia" w:ascii="仿宋" w:hAnsi="仿宋" w:eastAsia="仿宋"/>
          <w:color w:val="auto"/>
          <w:sz w:val="24"/>
        </w:rPr>
        <w:t>及时向监督部门报告评审过程中采购组织单位向评审专家做倾向性、误导性的解释或者说明，</w:t>
      </w:r>
      <w:r>
        <w:rPr>
          <w:rFonts w:hint="eastAsia" w:ascii="仿宋" w:hAnsi="仿宋" w:eastAsia="仿宋"/>
          <w:color w:val="auto"/>
          <w:sz w:val="24"/>
          <w:lang w:eastAsia="zh-CN"/>
        </w:rPr>
        <w:t>投标人</w:t>
      </w:r>
      <w:r>
        <w:rPr>
          <w:rFonts w:hint="eastAsia" w:ascii="仿宋" w:hAnsi="仿宋" w:eastAsia="仿宋"/>
          <w:color w:val="auto"/>
          <w:sz w:val="24"/>
        </w:rPr>
        <w:t>行贿、提供虚假材料或者串通、受到的非法干预情况等违法违规行为；</w:t>
      </w:r>
    </w:p>
    <w:p w14:paraId="6B5A4C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7.5</w:t>
      </w:r>
      <w:r>
        <w:rPr>
          <w:rFonts w:hint="eastAsia" w:ascii="仿宋" w:hAnsi="仿宋" w:eastAsia="仿宋"/>
          <w:color w:val="auto"/>
          <w:sz w:val="24"/>
        </w:rPr>
        <w:t>发现采购文件内容违反国家有关强制性规定或者存在歧义、重大缺陷导致评审工作无法进行时，停止评审并向采购组织单位书面说明情况；</w:t>
      </w:r>
    </w:p>
    <w:p w14:paraId="719FF8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7.6</w:t>
      </w:r>
      <w:r>
        <w:rPr>
          <w:rFonts w:hint="eastAsia" w:ascii="仿宋" w:hAnsi="仿宋" w:eastAsia="仿宋"/>
          <w:color w:val="auto"/>
          <w:sz w:val="24"/>
        </w:rPr>
        <w:t>配合答复处理</w:t>
      </w:r>
      <w:r>
        <w:rPr>
          <w:rFonts w:hint="eastAsia" w:ascii="仿宋" w:hAnsi="仿宋" w:eastAsia="仿宋"/>
          <w:color w:val="auto"/>
          <w:sz w:val="24"/>
          <w:lang w:eastAsia="zh-CN"/>
        </w:rPr>
        <w:t>投标人</w:t>
      </w:r>
      <w:r>
        <w:rPr>
          <w:rFonts w:hint="eastAsia" w:ascii="仿宋" w:hAnsi="仿宋" w:eastAsia="仿宋"/>
          <w:color w:val="auto"/>
          <w:sz w:val="24"/>
        </w:rPr>
        <w:t>的询问、质疑和投诉等事项；</w:t>
      </w:r>
    </w:p>
    <w:p w14:paraId="601E53F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7.7</w:t>
      </w:r>
      <w:r>
        <w:rPr>
          <w:rFonts w:hint="eastAsia" w:ascii="仿宋" w:hAnsi="仿宋" w:eastAsia="仿宋"/>
          <w:color w:val="auto"/>
          <w:sz w:val="24"/>
        </w:rPr>
        <w:t>法律、法规和规章规定的其他义务。</w:t>
      </w:r>
    </w:p>
    <w:p w14:paraId="07556C3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3" w:name="_Toc79959398"/>
      <w:bookmarkStart w:id="464" w:name="_Toc23160"/>
      <w:bookmarkStart w:id="465" w:name="_Toc29558"/>
      <w:r>
        <w:rPr>
          <w:rFonts w:hint="eastAsia" w:ascii="仿宋" w:hAnsi="仿宋" w:eastAsia="仿宋" w:cs="Times New Roman"/>
          <w:b/>
          <w:bCs/>
          <w:color w:val="auto"/>
          <w:sz w:val="28"/>
          <w:szCs w:val="28"/>
          <w:lang w:val="en-US" w:eastAsia="zh-CN"/>
        </w:rPr>
        <w:t>八、评标专家在采购活动中应当遵守以下工作纪律</w:t>
      </w:r>
      <w:bookmarkEnd w:id="463"/>
      <w:bookmarkEnd w:id="464"/>
      <w:bookmarkEnd w:id="465"/>
    </w:p>
    <w:p w14:paraId="5DE05866">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8.1</w:t>
      </w:r>
      <w:r>
        <w:rPr>
          <w:rFonts w:hint="eastAsia" w:ascii="仿宋" w:hAnsi="仿宋" w:eastAsia="仿宋"/>
          <w:color w:val="auto"/>
          <w:sz w:val="24"/>
        </w:rPr>
        <w:t>遵行关于回避的规定。</w:t>
      </w:r>
    </w:p>
    <w:p w14:paraId="67FF4A72">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8.2</w:t>
      </w:r>
      <w:r>
        <w:rPr>
          <w:rFonts w:hint="eastAsia" w:ascii="仿宋" w:hAnsi="仿宋" w:eastAsia="仿宋"/>
          <w:color w:val="auto"/>
          <w:sz w:val="24"/>
        </w:rPr>
        <w:t>评标前，应当将通讯工具或者相关电子设备交由招标采购单位统一保管。</w:t>
      </w:r>
    </w:p>
    <w:p w14:paraId="33F3A85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8.3</w:t>
      </w:r>
      <w:r>
        <w:rPr>
          <w:rFonts w:hint="eastAsia" w:ascii="仿宋" w:hAnsi="仿宋" w:eastAsia="仿宋"/>
          <w:color w:val="auto"/>
          <w:sz w:val="24"/>
        </w:rPr>
        <w:t>评标过程中，不得与外界联系，因发生不可预见情况，确实需要与外界联系的，应当在监督人员监督之下办理。</w:t>
      </w:r>
    </w:p>
    <w:p w14:paraId="152ED7FC">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8.4</w:t>
      </w:r>
      <w:r>
        <w:rPr>
          <w:rFonts w:hint="eastAsia" w:ascii="仿宋" w:hAnsi="仿宋" w:eastAsia="仿宋"/>
          <w:color w:val="auto"/>
          <w:sz w:val="24"/>
        </w:rPr>
        <w:t>评标过程中，不得干预或者影响正常评标工作，不得发表倾向性、引导性意见，不得修改或细化招标文件确定的评标程序、评标方法、评标因素和评标标准，不得接受</w:t>
      </w:r>
      <w:r>
        <w:rPr>
          <w:rFonts w:hint="eastAsia" w:ascii="仿宋" w:hAnsi="仿宋" w:eastAsia="仿宋"/>
          <w:color w:val="auto"/>
          <w:sz w:val="24"/>
          <w:lang w:eastAsia="zh-CN"/>
        </w:rPr>
        <w:t>投标人</w:t>
      </w:r>
      <w:r>
        <w:rPr>
          <w:rFonts w:hint="eastAsia" w:ascii="仿宋" w:hAnsi="仿宋" w:eastAsia="仿宋"/>
          <w:color w:val="auto"/>
          <w:sz w:val="24"/>
        </w:rPr>
        <w:t>主动提出的澄清和解释，不得征询</w:t>
      </w:r>
      <w:r>
        <w:rPr>
          <w:rFonts w:hint="eastAsia" w:ascii="仿宋" w:hAnsi="仿宋" w:eastAsia="仿宋"/>
          <w:color w:val="auto"/>
          <w:sz w:val="24"/>
          <w:lang w:eastAsia="zh-CN"/>
        </w:rPr>
        <w:t>招标人</w:t>
      </w:r>
      <w:r>
        <w:rPr>
          <w:rFonts w:hint="eastAsia" w:ascii="仿宋" w:hAnsi="仿宋" w:eastAsia="仿宋"/>
          <w:color w:val="auto"/>
          <w:sz w:val="24"/>
        </w:rPr>
        <w:t>代表的意见，不得协商评分，不得违反规定的评标格式评分和撰写评标意见，不得拒绝对自己的评标意见签字确认。</w:t>
      </w:r>
    </w:p>
    <w:p w14:paraId="4278F21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8.5</w:t>
      </w:r>
      <w:r>
        <w:rPr>
          <w:rFonts w:hint="eastAsia" w:ascii="仿宋" w:hAnsi="仿宋" w:eastAsia="仿宋"/>
          <w:color w:val="auto"/>
          <w:sz w:val="24"/>
        </w:rPr>
        <w:t>在评标过程中和评标结束后，不得记录、复制或带走任何评标资料，除因规定的义务外，不得向外界透露评标内容。</w:t>
      </w:r>
    </w:p>
    <w:p w14:paraId="43BDAF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8.6</w:t>
      </w:r>
      <w:r>
        <w:rPr>
          <w:rFonts w:hint="eastAsia" w:ascii="仿宋" w:hAnsi="仿宋" w:eastAsia="仿宋"/>
          <w:color w:val="auto"/>
          <w:sz w:val="24"/>
        </w:rPr>
        <w:t>服从评标现场招标采购单位的现场秩序管理，接受评标现场监督人员的合法监督。</w:t>
      </w:r>
    </w:p>
    <w:p w14:paraId="7E76BE71">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8.7</w:t>
      </w:r>
      <w:r>
        <w:rPr>
          <w:rFonts w:hint="eastAsia" w:ascii="仿宋" w:hAnsi="仿宋" w:eastAsia="仿宋"/>
          <w:color w:val="auto"/>
          <w:sz w:val="24"/>
        </w:rPr>
        <w:t>遵守有关廉洁自律规定，不得私下接触</w:t>
      </w:r>
      <w:r>
        <w:rPr>
          <w:rFonts w:hint="eastAsia" w:ascii="仿宋" w:hAnsi="仿宋" w:eastAsia="仿宋"/>
          <w:color w:val="auto"/>
          <w:sz w:val="24"/>
          <w:lang w:eastAsia="zh-CN"/>
        </w:rPr>
        <w:t>投标人</w:t>
      </w:r>
      <w:r>
        <w:rPr>
          <w:rFonts w:hint="eastAsia" w:ascii="仿宋" w:hAnsi="仿宋" w:eastAsia="仿宋"/>
          <w:color w:val="auto"/>
          <w:sz w:val="24"/>
        </w:rPr>
        <w:t>，不得收受</w:t>
      </w:r>
      <w:r>
        <w:rPr>
          <w:rFonts w:hint="eastAsia" w:ascii="仿宋" w:hAnsi="仿宋" w:eastAsia="仿宋"/>
          <w:color w:val="auto"/>
          <w:sz w:val="24"/>
          <w:lang w:eastAsia="zh-CN"/>
        </w:rPr>
        <w:t>投标人</w:t>
      </w:r>
      <w:r>
        <w:rPr>
          <w:rFonts w:hint="eastAsia" w:ascii="仿宋" w:hAnsi="仿宋" w:eastAsia="仿宋"/>
          <w:color w:val="auto"/>
          <w:sz w:val="24"/>
        </w:rPr>
        <w:t>及有关业务单位和个人的财物或好处，不得接受采购组织单位的请托。</w:t>
      </w:r>
    </w:p>
    <w:p w14:paraId="44FF8246">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9"/>
        <w:rPr>
          <w:color w:val="auto"/>
          <w:highlight w:val="none"/>
        </w:rPr>
      </w:pPr>
      <w:bookmarkStart w:id="466" w:name="_Toc5845"/>
      <w:bookmarkStart w:id="467" w:name="_Toc23042"/>
      <w:r>
        <w:rPr>
          <w:rFonts w:hint="eastAsia" w:ascii="仿宋" w:hAnsi="仿宋" w:eastAsia="仿宋"/>
          <w:color w:val="auto"/>
          <w:sz w:val="36"/>
          <w:szCs w:val="36"/>
        </w:rPr>
        <w:br w:type="page"/>
      </w:r>
      <w:bookmarkEnd w:id="466"/>
      <w:bookmarkEnd w:id="467"/>
      <w:r>
        <w:rPr>
          <w:rFonts w:hint="eastAsia" w:ascii="仿宋" w:hAnsi="仿宋" w:eastAsia="仿宋" w:cs="仿宋"/>
          <w:b/>
          <w:bCs/>
          <w:color w:val="auto"/>
          <w:sz w:val="32"/>
          <w:szCs w:val="40"/>
          <w:highlight w:val="none"/>
        </w:rPr>
        <w:t>（</w:t>
      </w:r>
      <w:r>
        <w:rPr>
          <w:rFonts w:hint="eastAsia" w:ascii="仿宋" w:hAnsi="仿宋" w:eastAsia="仿宋" w:cs="仿宋"/>
          <w:b/>
          <w:bCs/>
          <w:color w:val="auto"/>
          <w:sz w:val="32"/>
          <w:szCs w:val="40"/>
          <w:highlight w:val="none"/>
          <w:lang w:eastAsia="zh-CN"/>
        </w:rPr>
        <w:t>样例</w:t>
      </w:r>
      <w:r>
        <w:rPr>
          <w:rFonts w:hint="eastAsia" w:ascii="仿宋" w:hAnsi="仿宋" w:eastAsia="仿宋" w:cs="仿宋"/>
          <w:b/>
          <w:bCs/>
          <w:color w:val="auto"/>
          <w:sz w:val="32"/>
          <w:szCs w:val="40"/>
          <w:highlight w:val="none"/>
          <w:lang w:val="en-US" w:eastAsia="zh-CN"/>
        </w:rPr>
        <w:t xml:space="preserve"> 仅供参考</w:t>
      </w:r>
      <w:r>
        <w:rPr>
          <w:rFonts w:hint="eastAsia" w:ascii="仿宋" w:hAnsi="仿宋" w:eastAsia="仿宋" w:cs="仿宋"/>
          <w:b/>
          <w:bCs/>
          <w:color w:val="auto"/>
          <w:sz w:val="32"/>
          <w:szCs w:val="40"/>
          <w:highlight w:val="none"/>
        </w:rPr>
        <w:t>）</w:t>
      </w:r>
    </w:p>
    <w:p w14:paraId="262BF169">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val="0"/>
          <w:color w:val="auto"/>
          <w:kern w:val="2"/>
          <w:sz w:val="36"/>
          <w:szCs w:val="36"/>
          <w:highlight w:val="none"/>
          <w:lang w:val="en-US" w:eastAsia="zh-CN" w:bidi="ar-SA"/>
        </w:rPr>
      </w:pPr>
      <w:bookmarkStart w:id="468" w:name="_Toc7291"/>
      <w:bookmarkStart w:id="469" w:name="_Toc3171"/>
      <w:bookmarkStart w:id="470" w:name="_Toc27454"/>
      <w:bookmarkStart w:id="471" w:name="_Toc19604"/>
      <w:r>
        <w:rPr>
          <w:rFonts w:hint="eastAsia" w:ascii="仿宋" w:hAnsi="仿宋" w:eastAsia="仿宋" w:cs="仿宋"/>
          <w:b/>
          <w:bCs w:val="0"/>
          <w:color w:val="auto"/>
          <w:kern w:val="2"/>
          <w:sz w:val="36"/>
          <w:szCs w:val="36"/>
          <w:highlight w:val="none"/>
          <w:lang w:val="en-US" w:eastAsia="zh-CN" w:bidi="ar-SA"/>
        </w:rPr>
        <w:t>第八章  采购合同</w:t>
      </w:r>
      <w:bookmarkEnd w:id="468"/>
      <w:bookmarkEnd w:id="469"/>
      <w:bookmarkEnd w:id="470"/>
      <w:bookmarkEnd w:id="471"/>
    </w:p>
    <w:p w14:paraId="4970A0EA">
      <w:pPr>
        <w:widowControl/>
        <w:spacing w:before="240" w:after="240"/>
        <w:jc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lang w:val="en-US" w:eastAsia="zh-CN"/>
        </w:rPr>
        <w:t>***</w:t>
      </w:r>
      <w:r>
        <w:rPr>
          <w:rFonts w:hint="eastAsia" w:ascii="仿宋" w:hAnsi="仿宋" w:eastAsia="仿宋" w:cs="仿宋"/>
          <w:b/>
          <w:bCs/>
          <w:color w:val="auto"/>
          <w:kern w:val="0"/>
          <w:sz w:val="24"/>
          <w:szCs w:val="24"/>
          <w:highlight w:val="none"/>
          <w:lang w:eastAsia="zh-CN"/>
        </w:rPr>
        <w:t>医疗</w:t>
      </w:r>
      <w:r>
        <w:rPr>
          <w:rFonts w:hint="eastAsia" w:ascii="仿宋" w:hAnsi="仿宋" w:eastAsia="仿宋" w:cs="仿宋"/>
          <w:b/>
          <w:bCs/>
          <w:color w:val="auto"/>
          <w:kern w:val="0"/>
          <w:sz w:val="24"/>
          <w:szCs w:val="24"/>
          <w:highlight w:val="none"/>
        </w:rPr>
        <w:t>耗材</w:t>
      </w:r>
      <w:r>
        <w:rPr>
          <w:rFonts w:hint="eastAsia" w:ascii="仿宋" w:hAnsi="仿宋" w:eastAsia="仿宋" w:cs="仿宋"/>
          <w:b/>
          <w:bCs/>
          <w:color w:val="auto"/>
          <w:kern w:val="0"/>
          <w:sz w:val="24"/>
          <w:szCs w:val="24"/>
          <w:highlight w:val="none"/>
          <w:lang w:eastAsia="zh-CN"/>
        </w:rPr>
        <w:t>采购项目</w:t>
      </w:r>
      <w:r>
        <w:rPr>
          <w:rFonts w:hint="eastAsia" w:ascii="仿宋" w:hAnsi="仿宋" w:eastAsia="仿宋" w:cs="仿宋"/>
          <w:b/>
          <w:bCs/>
          <w:color w:val="auto"/>
          <w:kern w:val="0"/>
          <w:sz w:val="24"/>
          <w:szCs w:val="24"/>
          <w:highlight w:val="none"/>
        </w:rPr>
        <w:t>采购合同</w:t>
      </w:r>
      <w:r>
        <w:rPr>
          <w:rFonts w:hint="eastAsia" w:ascii="仿宋" w:hAnsi="仿宋" w:eastAsia="仿宋" w:cs="仿宋"/>
          <w:color w:val="auto"/>
          <w:kern w:val="0"/>
          <w:sz w:val="24"/>
          <w:szCs w:val="24"/>
          <w:highlight w:val="none"/>
        </w:rPr>
        <w:t xml:space="preserve">             </w:t>
      </w:r>
    </w:p>
    <w:p w14:paraId="7022B743">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合同编号：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(第  包）</w:t>
      </w:r>
      <w:r>
        <w:rPr>
          <w:rFonts w:hint="eastAsia" w:ascii="仿宋" w:hAnsi="仿宋" w:eastAsia="仿宋" w:cs="仿宋"/>
          <w:color w:val="auto"/>
          <w:sz w:val="24"/>
          <w:szCs w:val="24"/>
          <w:u w:val="single"/>
        </w:rPr>
        <w:t xml:space="preserve">  </w:t>
      </w:r>
    </w:p>
    <w:p w14:paraId="25A007D7">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签订地点：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71BC49D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签订时间：</w:t>
      </w:r>
      <w:r>
        <w:rPr>
          <w:rFonts w:hint="eastAsia" w:ascii="仿宋" w:hAnsi="仿宋" w:eastAsia="仿宋" w:cs="仿宋"/>
          <w:color w:val="auto"/>
          <w:sz w:val="24"/>
          <w:szCs w:val="24"/>
          <w:u w:val="single"/>
        </w:rPr>
        <w:t xml:space="preserve">  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 xml:space="preserve">年   月    日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571F01E2">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招标人（甲方）：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6B71A93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投标人（乙方）：</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rPr>
        <w:t xml:space="preserve"> </w:t>
      </w:r>
    </w:p>
    <w:p w14:paraId="1B430D06">
      <w:pPr>
        <w:widowControl/>
        <w:spacing w:line="360" w:lineRule="auto"/>
        <w:ind w:left="120" w:leftChars="57" w:firstLine="360" w:firstLineChars="15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甲方对</w:t>
      </w:r>
      <w:bookmarkStart w:id="472" w:name="OLE_LINK30"/>
      <w:bookmarkStart w:id="473" w:name="OLE_LINK29"/>
      <w:r>
        <w:rPr>
          <w:rFonts w:hint="eastAsia" w:ascii="仿宋" w:hAnsi="仿宋" w:eastAsia="仿宋" w:cs="仿宋"/>
          <w:bCs/>
          <w:color w:val="auto"/>
          <w:sz w:val="24"/>
          <w:szCs w:val="24"/>
        </w:rPr>
        <w:t>富顺县中医医院</w:t>
      </w:r>
      <w:bookmarkStart w:id="474" w:name="OLE_LINK26"/>
      <w:bookmarkStart w:id="475" w:name="OLE_LINK25"/>
      <w:r>
        <w:rPr>
          <w:rFonts w:hint="eastAsia" w:ascii="仿宋" w:hAnsi="仿宋" w:eastAsia="仿宋" w:cs="仿宋"/>
          <w:bCs/>
          <w:color w:val="auto"/>
          <w:sz w:val="24"/>
          <w:szCs w:val="24"/>
        </w:rPr>
        <w:t>202</w:t>
      </w:r>
      <w:r>
        <w:rPr>
          <w:rFonts w:hint="eastAsia" w:ascii="仿宋" w:hAnsi="仿宋" w:eastAsia="仿宋" w:cs="仿宋"/>
          <w:bCs/>
          <w:color w:val="auto"/>
          <w:sz w:val="24"/>
          <w:szCs w:val="24"/>
          <w:lang w:val="en-US" w:eastAsia="zh-CN"/>
        </w:rPr>
        <w:t>5</w:t>
      </w:r>
      <w:r>
        <w:rPr>
          <w:rFonts w:hint="eastAsia" w:ascii="仿宋" w:hAnsi="仿宋" w:eastAsia="仿宋" w:cs="仿宋"/>
          <w:bCs/>
          <w:color w:val="auto"/>
          <w:sz w:val="24"/>
          <w:szCs w:val="24"/>
        </w:rPr>
        <w:t>年第</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批医疗耗材</w:t>
      </w:r>
      <w:bookmarkEnd w:id="474"/>
      <w:bookmarkEnd w:id="475"/>
      <w:r>
        <w:rPr>
          <w:rFonts w:hint="eastAsia" w:ascii="仿宋" w:hAnsi="仿宋" w:eastAsia="仿宋" w:cs="仿宋"/>
          <w:bCs/>
          <w:color w:val="auto"/>
          <w:sz w:val="24"/>
          <w:szCs w:val="24"/>
        </w:rPr>
        <w:t>采购</w:t>
      </w:r>
      <w:bookmarkEnd w:id="472"/>
      <w:bookmarkEnd w:id="473"/>
      <w:r>
        <w:rPr>
          <w:rFonts w:hint="eastAsia" w:ascii="仿宋" w:hAnsi="仿宋" w:eastAsia="仿宋" w:cs="仿宋"/>
          <w:color w:val="auto"/>
          <w:kern w:val="0"/>
          <w:sz w:val="24"/>
          <w:szCs w:val="24"/>
        </w:rPr>
        <w:t>项目进行采购，于</w:t>
      </w:r>
      <w:r>
        <w:rPr>
          <w:rFonts w:hint="eastAsia" w:ascii="仿宋" w:hAnsi="仿宋" w:eastAsia="仿宋" w:cs="仿宋"/>
          <w:color w:val="auto"/>
          <w:kern w:val="0"/>
          <w:sz w:val="24"/>
          <w:szCs w:val="24"/>
          <w:u w:val="single"/>
        </w:rPr>
        <w:t>202</w:t>
      </w:r>
      <w:r>
        <w:rPr>
          <w:rFonts w:hint="eastAsia" w:ascii="仿宋" w:hAnsi="仿宋" w:eastAsia="仿宋" w:cs="仿宋"/>
          <w:color w:val="auto"/>
          <w:kern w:val="0"/>
          <w:sz w:val="24"/>
          <w:szCs w:val="24"/>
          <w:u w:val="single"/>
          <w:lang w:val="en-US" w:eastAsia="zh-CN"/>
        </w:rPr>
        <w:t>5</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月</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日通过公开遴选，确定乙方为项目中选人。为了保护供需各方合法权益,根据《中华人民共和国政府采购法》、《中华人民共和国民法典》</w:t>
      </w:r>
      <w:r>
        <w:rPr>
          <w:rFonts w:hint="eastAsia" w:ascii="仿宋" w:hAnsi="仿宋" w:eastAsia="仿宋" w:cs="仿宋"/>
          <w:color w:val="auto"/>
          <w:kern w:val="0"/>
          <w:sz w:val="24"/>
          <w:szCs w:val="24"/>
          <w:lang w:eastAsia="zh-CN"/>
        </w:rPr>
        <w:t>、</w:t>
      </w:r>
      <w:r>
        <w:rPr>
          <w:rFonts w:hint="eastAsia" w:ascii="仿宋" w:hAnsi="仿宋" w:eastAsia="仿宋" w:cs="仿宋"/>
          <w:color w:val="auto"/>
          <w:sz w:val="24"/>
          <w:szCs w:val="24"/>
        </w:rPr>
        <w:t>合同附件及本项目的招标文件、投标文件、</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中标通知书</w:t>
      </w:r>
      <w:r>
        <w:rPr>
          <w:rFonts w:hint="eastAsia" w:ascii="仿宋" w:hAnsi="仿宋" w:eastAsia="仿宋" w:cs="仿宋"/>
          <w:color w:val="auto"/>
          <w:kern w:val="0"/>
          <w:sz w:val="24"/>
          <w:szCs w:val="24"/>
        </w:rPr>
        <w:t>》等相关法律、法规的规定，经甲乙双方一致协商，订立本合同。</w:t>
      </w:r>
    </w:p>
    <w:p w14:paraId="2CEDA436">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一、项目清单及合同金额</w:t>
      </w:r>
      <w:r>
        <w:rPr>
          <w:rFonts w:hint="eastAsia" w:ascii="仿宋" w:hAnsi="仿宋" w:eastAsia="仿宋" w:cs="仿宋"/>
          <w:color w:val="auto"/>
          <w:kern w:val="0"/>
          <w:sz w:val="24"/>
          <w:szCs w:val="24"/>
        </w:rPr>
        <w:t xml:space="preserve">（详见报价表，附后）   </w:t>
      </w:r>
    </w:p>
    <w:p w14:paraId="1D4876B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 项目名称：</w:t>
      </w:r>
      <w:r>
        <w:rPr>
          <w:rFonts w:hint="eastAsia" w:ascii="仿宋" w:hAnsi="仿宋" w:eastAsia="仿宋" w:cs="仿宋"/>
          <w:color w:val="auto"/>
          <w:sz w:val="24"/>
          <w:szCs w:val="24"/>
        </w:rPr>
        <w:t>富顺县中医医院</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sz w:val="24"/>
          <w:szCs w:val="24"/>
          <w:lang w:eastAsia="zh-CN"/>
        </w:rPr>
        <w:t>采购项目</w:t>
      </w:r>
    </w:p>
    <w:p w14:paraId="7CB732A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项目编号</w:t>
      </w:r>
      <w:r>
        <w:rPr>
          <w:rFonts w:hint="eastAsia" w:ascii="仿宋" w:hAnsi="仿宋" w:eastAsia="仿宋" w:cs="仿宋"/>
          <w:color w:val="auto"/>
          <w:kern w:val="0"/>
          <w:sz w:val="24"/>
          <w:szCs w:val="24"/>
          <w:lang w:eastAsia="zh-CN"/>
        </w:rPr>
        <w:t>：</w:t>
      </w:r>
    </w:p>
    <w:p w14:paraId="53DAEF3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 xml:space="preserve">. 具体内容： (详见附表) </w:t>
      </w:r>
    </w:p>
    <w:p w14:paraId="0F139AEF">
      <w:pPr>
        <w:pStyle w:val="7"/>
        <w:spacing w:line="360" w:lineRule="auto"/>
        <w:ind w:firstLine="48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lang w:val="en-US" w:eastAsia="zh-CN" w:bidi="ar-SA"/>
        </w:rPr>
        <w:t>该合同附件价格已包括货物设计、材料、制造、包装、运输等所有其他</w:t>
      </w:r>
      <w:r>
        <w:rPr>
          <w:rFonts w:hint="eastAsia" w:ascii="仿宋" w:hAnsi="仿宋" w:eastAsia="仿宋" w:cs="仿宋"/>
          <w:color w:val="auto"/>
          <w:kern w:val="0"/>
          <w:sz w:val="24"/>
          <w:szCs w:val="24"/>
          <w:highlight w:val="none"/>
          <w:lang w:val="en-US" w:eastAsia="zh-CN" w:bidi="ar-SA"/>
        </w:rPr>
        <w:t>有关各项的含税费用。本合同执行期间采购单价变动参照2021年6月15《四川省医疗保障局关于规范开展药品和医用耗材集中采购工作的通知》执行。采购</w:t>
      </w:r>
      <w:r>
        <w:rPr>
          <w:rFonts w:hint="eastAsia" w:ascii="仿宋" w:hAnsi="仿宋" w:eastAsia="仿宋" w:cs="仿宋"/>
          <w:color w:val="auto"/>
          <w:kern w:val="0"/>
          <w:sz w:val="24"/>
          <w:szCs w:val="24"/>
          <w:lang w:val="en-US" w:eastAsia="zh-CN" w:bidi="ar-SA"/>
        </w:rPr>
        <w:t>数量及总金额以每月实际采购计划为准。</w:t>
      </w:r>
    </w:p>
    <w:p w14:paraId="57148BC4">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lang w:val="en-US" w:eastAsia="zh-CN" w:bidi="ar-SA"/>
        </w:rPr>
      </w:pPr>
    </w:p>
    <w:p w14:paraId="7C259212">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lang w:val="en-US" w:eastAsia="zh-CN" w:bidi="ar-SA"/>
        </w:rPr>
      </w:pPr>
    </w:p>
    <w:p w14:paraId="3D70AA92">
      <w:pPr>
        <w:keepNext w:val="0"/>
        <w:keepLines w:val="0"/>
        <w:pageBreakBefore w:val="0"/>
        <w:widowControl/>
        <w:numPr>
          <w:ilvl w:val="0"/>
          <w:numId w:val="5"/>
        </w:numPr>
        <w:kinsoku/>
        <w:wordWrap/>
        <w:overflowPunct/>
        <w:topLinePunct w:val="0"/>
        <w:autoSpaceDE/>
        <w:autoSpaceDN/>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rPr>
        <w:t>采购周期</w:t>
      </w:r>
      <w:r>
        <w:rPr>
          <w:rFonts w:hint="eastAsia" w:ascii="仿宋" w:hAnsi="仿宋" w:eastAsia="仿宋" w:cs="仿宋"/>
          <w:color w:val="auto"/>
          <w:kern w:val="0"/>
          <w:sz w:val="24"/>
          <w:szCs w:val="24"/>
        </w:rPr>
        <w:t xml:space="preserve">：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 年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月 </w:t>
      </w:r>
      <w:r>
        <w:rPr>
          <w:rFonts w:hint="eastAsia" w:ascii="仿宋" w:hAnsi="仿宋" w:eastAsia="仿宋" w:cs="仿宋"/>
          <w:color w:val="auto"/>
          <w:kern w:val="0"/>
          <w:sz w:val="24"/>
          <w:szCs w:val="24"/>
          <w:lang w:val="en-US" w:eastAsia="zh-CN"/>
        </w:rPr>
        <w:t xml:space="preserve">   日</w:t>
      </w:r>
      <w:r>
        <w:rPr>
          <w:rFonts w:hint="eastAsia" w:ascii="仿宋" w:hAnsi="仿宋" w:eastAsia="仿宋" w:cs="仿宋"/>
          <w:color w:val="auto"/>
          <w:kern w:val="0"/>
          <w:sz w:val="24"/>
          <w:szCs w:val="24"/>
        </w:rPr>
        <w:t>至     年    月</w:t>
      </w:r>
      <w:r>
        <w:rPr>
          <w:rFonts w:hint="eastAsia" w:ascii="仿宋" w:hAnsi="仿宋" w:eastAsia="仿宋" w:cs="仿宋"/>
          <w:color w:val="auto"/>
          <w:kern w:val="0"/>
          <w:sz w:val="24"/>
          <w:szCs w:val="24"/>
          <w:lang w:val="en-US" w:eastAsia="zh-CN"/>
        </w:rPr>
        <w:t xml:space="preserve">    日</w:t>
      </w:r>
    </w:p>
    <w:p w14:paraId="290B665F">
      <w:pPr>
        <w:pStyle w:val="31"/>
        <w:rPr>
          <w:rFonts w:hint="eastAsia" w:ascii="仿宋" w:hAnsi="仿宋" w:eastAsia="仿宋" w:cs="仿宋"/>
          <w:color w:val="auto"/>
          <w:sz w:val="24"/>
          <w:szCs w:val="24"/>
        </w:rPr>
      </w:pPr>
    </w:p>
    <w:p w14:paraId="4BF578A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三、交货时间、验收地点及交付方式</w:t>
      </w:r>
    </w:p>
    <w:p w14:paraId="404EA6E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 交货时间：在接到甲方的通知（包括并不限于书面、口头、电话、短信、微信等形式）后，</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val="en-US" w:eastAsia="zh-CN"/>
        </w:rPr>
        <w:t>48</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 小时内。</w:t>
      </w:r>
    </w:p>
    <w:p w14:paraId="7E0AC9A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验收地点：甲方指定地点。</w:t>
      </w:r>
    </w:p>
    <w:p w14:paraId="5FB54AC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交付方式：免费送货上门，连同配套工具交付使用，如因甲方手术需要，则厂家技术人员须免费上门指导。</w:t>
      </w:r>
    </w:p>
    <w:p w14:paraId="04311DED">
      <w:pPr>
        <w:pStyle w:val="31"/>
        <w:rPr>
          <w:rFonts w:hint="eastAsia" w:ascii="仿宋" w:hAnsi="仿宋" w:eastAsia="仿宋" w:cs="仿宋"/>
          <w:color w:val="auto"/>
          <w:sz w:val="24"/>
          <w:szCs w:val="24"/>
        </w:rPr>
      </w:pPr>
    </w:p>
    <w:p w14:paraId="48A9CBC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四、履约验收</w:t>
      </w:r>
    </w:p>
    <w:p w14:paraId="5B87BDD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乙方提供的耗材为最新生产的原装正品，各项指标符合出产国检测标准和出厂标准，各项技术参数符合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文件要求和乙方投递的</w:t>
      </w:r>
      <w:r>
        <w:rPr>
          <w:rFonts w:hint="eastAsia" w:ascii="仿宋" w:hAnsi="仿宋" w:eastAsia="仿宋" w:cs="仿宋"/>
          <w:color w:val="auto"/>
          <w:kern w:val="0"/>
          <w:sz w:val="24"/>
          <w:szCs w:val="24"/>
          <w:lang w:eastAsia="zh-CN"/>
        </w:rPr>
        <w:t>响应</w:t>
      </w:r>
      <w:r>
        <w:rPr>
          <w:rFonts w:hint="eastAsia" w:ascii="仿宋" w:hAnsi="仿宋" w:eastAsia="仿宋" w:cs="仿宋"/>
          <w:color w:val="auto"/>
          <w:kern w:val="0"/>
          <w:sz w:val="24"/>
          <w:szCs w:val="24"/>
        </w:rPr>
        <w:t>文件承诺。</w:t>
      </w:r>
    </w:p>
    <w:p w14:paraId="4194B1A9">
      <w:pPr>
        <w:keepNext w:val="0"/>
        <w:keepLines w:val="0"/>
        <w:pageBreakBefore w:val="0"/>
        <w:widowControl/>
        <w:kinsoku/>
        <w:wordWrap/>
        <w:overflowPunct/>
        <w:topLinePunct w:val="0"/>
        <w:autoSpaceDE/>
        <w:autoSpaceDN/>
        <w:bidi w:val="0"/>
        <w:spacing w:line="360" w:lineRule="auto"/>
        <w:ind w:left="237" w:leftChars="113" w:firstLine="120" w:firstLineChars="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乙方提供的产品若为原装进口产品，还应在验收时提供该耗材属原装进口</w:t>
      </w:r>
    </w:p>
    <w:p w14:paraId="5580AE8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的相关凭据。 </w:t>
      </w:r>
    </w:p>
    <w:p w14:paraId="5066892C">
      <w:pPr>
        <w:keepNext w:val="0"/>
        <w:keepLines w:val="0"/>
        <w:pageBreakBefore w:val="0"/>
        <w:widowControl/>
        <w:kinsoku/>
        <w:wordWrap/>
        <w:overflowPunct/>
        <w:topLinePunct w:val="0"/>
        <w:autoSpaceDE/>
        <w:autoSpaceDN/>
        <w:bidi w:val="0"/>
        <w:spacing w:line="360" w:lineRule="auto"/>
        <w:ind w:left="959" w:leftChars="228" w:hanging="480" w:hanging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乙方所交产品不符合规定或质量不合格的，由乙方负责包换，并承担换货</w:t>
      </w:r>
    </w:p>
    <w:p w14:paraId="21779738">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而支付的一切费用。乙方不能调换的，按不能交货处理。 </w:t>
      </w:r>
    </w:p>
    <w:p w14:paraId="19620B8D">
      <w:pPr>
        <w:pStyle w:val="31"/>
        <w:rPr>
          <w:rFonts w:hint="eastAsia" w:ascii="仿宋" w:hAnsi="仿宋" w:eastAsia="仿宋" w:cs="仿宋"/>
          <w:color w:val="auto"/>
          <w:sz w:val="24"/>
          <w:szCs w:val="24"/>
        </w:rPr>
      </w:pPr>
    </w:p>
    <w:p w14:paraId="3BC0BCFE">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五、售后服务</w:t>
      </w:r>
    </w:p>
    <w:p w14:paraId="4C53115A">
      <w:pPr>
        <w:keepNext w:val="0"/>
        <w:keepLines w:val="0"/>
        <w:pageBreakBefore w:val="0"/>
        <w:widowControl/>
        <w:kinsoku/>
        <w:wordWrap/>
        <w:overflowPunct/>
        <w:topLinePunct w:val="0"/>
        <w:autoSpaceDE/>
        <w:autoSpaceDN/>
        <w:bidi w:val="0"/>
        <w:spacing w:line="360" w:lineRule="auto"/>
        <w:ind w:left="479" w:leftChars="228"/>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严格遵守售后服务承诺，耗材在使用中出现任何问题，甲方与乙方联系，</w:t>
      </w:r>
    </w:p>
    <w:p w14:paraId="59EC0FD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乙方在接到电话后</w:t>
      </w:r>
      <w:r>
        <w:rPr>
          <w:rFonts w:hint="eastAsia" w:ascii="仿宋" w:hAnsi="仿宋" w:eastAsia="仿宋" w:cs="仿宋"/>
          <w:color w:val="auto"/>
          <w:kern w:val="0"/>
          <w:sz w:val="24"/>
          <w:szCs w:val="24"/>
          <w:u w:val="single"/>
        </w:rPr>
        <w:t xml:space="preserve">   4  </w:t>
      </w:r>
      <w:r>
        <w:rPr>
          <w:rFonts w:hint="eastAsia" w:ascii="仿宋" w:hAnsi="仿宋" w:eastAsia="仿宋" w:cs="仿宋"/>
          <w:color w:val="auto"/>
          <w:kern w:val="0"/>
          <w:sz w:val="24"/>
          <w:szCs w:val="24"/>
        </w:rPr>
        <w:t>小时内到达现场提供现场服务。有关内容如下：</w:t>
      </w:r>
    </w:p>
    <w:p w14:paraId="6ACD7605">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25D0E10E">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提供相应的备用机</w:t>
      </w:r>
      <w:r>
        <w:rPr>
          <w:rFonts w:hint="eastAsia" w:ascii="仿宋" w:hAnsi="仿宋" w:eastAsia="仿宋" w:cs="仿宋"/>
          <w:color w:val="auto"/>
          <w:kern w:val="0"/>
          <w:sz w:val="24"/>
          <w:szCs w:val="24"/>
          <w:highlight w:val="none"/>
          <w:lang w:eastAsia="zh-CN"/>
        </w:rPr>
        <w:t>及</w:t>
      </w:r>
      <w:r>
        <w:rPr>
          <w:rFonts w:hint="eastAsia" w:ascii="仿宋" w:hAnsi="仿宋" w:eastAsia="仿宋" w:cs="仿宋"/>
          <w:color w:val="auto"/>
          <w:kern w:val="0"/>
          <w:sz w:val="24"/>
          <w:szCs w:val="24"/>
          <w:highlight w:val="none"/>
        </w:rPr>
        <w:t>备用机的维护保养，保证备用机的正常运行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                                            </w:t>
      </w:r>
    </w:p>
    <w:p w14:paraId="63CA17B0">
      <w:pPr>
        <w:widowControl/>
        <w:numPr>
          <w:ilvl w:val="0"/>
          <w:numId w:val="6"/>
        </w:numPr>
        <w:spacing w:line="440" w:lineRule="exact"/>
        <w:ind w:left="0" w:leftChars="0"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签定合同后耗材价格在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kern w:val="0"/>
          <w:sz w:val="24"/>
          <w:szCs w:val="24"/>
          <w:highlight w:val="none"/>
        </w:rPr>
        <w:t>上如出现了最低采购价的按照最低价格进行采购，中标</w:t>
      </w:r>
      <w:r>
        <w:rPr>
          <w:rFonts w:hint="eastAsia" w:ascii="仿宋" w:hAnsi="仿宋" w:eastAsia="仿宋" w:cs="仿宋"/>
          <w:color w:val="auto"/>
          <w:kern w:val="0"/>
          <w:sz w:val="24"/>
          <w:szCs w:val="24"/>
          <w:highlight w:val="none"/>
          <w:lang w:val="en-US" w:eastAsia="zh-CN"/>
        </w:rPr>
        <w:t>人</w:t>
      </w:r>
      <w:r>
        <w:rPr>
          <w:rFonts w:hint="eastAsia" w:ascii="仿宋" w:hAnsi="仿宋" w:eastAsia="仿宋" w:cs="仿宋"/>
          <w:color w:val="auto"/>
          <w:kern w:val="0"/>
          <w:sz w:val="24"/>
          <w:szCs w:val="24"/>
          <w:highlight w:val="none"/>
        </w:rPr>
        <w:t>无条件执行（并在</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上进行价格确认）生成订单，中标</w:t>
      </w:r>
      <w:r>
        <w:rPr>
          <w:rFonts w:hint="eastAsia" w:ascii="仿宋" w:hAnsi="仿宋" w:eastAsia="仿宋" w:cs="仿宋"/>
          <w:color w:val="auto"/>
          <w:kern w:val="0"/>
          <w:sz w:val="24"/>
          <w:szCs w:val="24"/>
          <w:highlight w:val="none"/>
          <w:lang w:val="en-US" w:eastAsia="zh-CN"/>
        </w:rPr>
        <w:t>人</w:t>
      </w:r>
      <w:r>
        <w:rPr>
          <w:rFonts w:hint="eastAsia" w:ascii="仿宋" w:hAnsi="仿宋" w:eastAsia="仿宋" w:cs="仿宋"/>
          <w:color w:val="auto"/>
          <w:kern w:val="0"/>
          <w:sz w:val="24"/>
          <w:szCs w:val="24"/>
          <w:highlight w:val="none"/>
        </w:rPr>
        <w:t>如不执行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我院</w:t>
      </w:r>
      <w:r>
        <w:rPr>
          <w:rFonts w:hint="eastAsia" w:ascii="仿宋" w:hAnsi="仿宋" w:eastAsia="仿宋" w:cs="仿宋"/>
          <w:color w:val="auto"/>
          <w:kern w:val="0"/>
          <w:sz w:val="24"/>
          <w:szCs w:val="24"/>
          <w:highlight w:val="none"/>
        </w:rPr>
        <w:t>有权终止合同。</w:t>
      </w:r>
    </w:p>
    <w:p w14:paraId="41E2ECDD">
      <w:pPr>
        <w:widowControl/>
        <w:numPr>
          <w:ilvl w:val="0"/>
          <w:numId w:val="0"/>
        </w:numPr>
        <w:spacing w:line="440" w:lineRule="exac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所有采购产品，出现国家集采范围内，进入国家集采范围内的产品自动中止采购，执行国家集采相关政策</w:t>
      </w:r>
      <w:r>
        <w:rPr>
          <w:rFonts w:hint="eastAsia" w:ascii="仿宋" w:hAnsi="仿宋" w:eastAsia="仿宋" w:cs="仿宋"/>
          <w:color w:val="auto"/>
          <w:sz w:val="24"/>
          <w:szCs w:val="24"/>
          <w:lang w:eastAsia="zh-CN"/>
        </w:rPr>
        <w:t>。</w:t>
      </w:r>
    </w:p>
    <w:p w14:paraId="2265D326">
      <w:pPr>
        <w:widowControl/>
        <w:numPr>
          <w:ilvl w:val="0"/>
          <w:numId w:val="0"/>
        </w:numPr>
        <w:spacing w:line="440" w:lineRule="exact"/>
        <w:ind w:left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6.投标人需向采购人提供及时有效的技术支持。</w:t>
      </w:r>
    </w:p>
    <w:p w14:paraId="72F2783A">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六、相关权利及义务</w:t>
      </w:r>
    </w:p>
    <w:p w14:paraId="323E01C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甲方在验收时对不符合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 xml:space="preserve">文件要求的产品有权拒绝接收和追究违约责任。 </w:t>
      </w:r>
    </w:p>
    <w:p w14:paraId="282E677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rPr>
        <w:t>甲方有权监督乙方的售后服务，并对乙方的售后服务不符合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文件承诺内容时加以指出乃至追究合同责任。</w:t>
      </w:r>
    </w:p>
    <w:p w14:paraId="63770DF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3. </w:t>
      </w:r>
      <w:r>
        <w:rPr>
          <w:rFonts w:hint="eastAsia" w:ascii="仿宋" w:hAnsi="仿宋" w:eastAsia="仿宋" w:cs="仿宋"/>
          <w:color w:val="auto"/>
          <w:kern w:val="0"/>
          <w:sz w:val="24"/>
          <w:szCs w:val="24"/>
        </w:rPr>
        <w:t>甲方在合同规定期限内协助履行付款责任。</w:t>
      </w:r>
    </w:p>
    <w:p w14:paraId="4B9A8E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rPr>
        <w:t>乙方有权按照合同要求及时、保质、保量交付产品。</w:t>
      </w:r>
    </w:p>
    <w:p w14:paraId="01E2562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5. </w:t>
      </w:r>
      <w:r>
        <w:rPr>
          <w:rFonts w:hint="eastAsia" w:ascii="仿宋" w:hAnsi="仿宋" w:eastAsia="仿宋" w:cs="仿宋"/>
          <w:color w:val="auto"/>
          <w:kern w:val="0"/>
          <w:sz w:val="24"/>
          <w:szCs w:val="24"/>
        </w:rPr>
        <w:t>乙方有义务按</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w:t>
      </w:r>
      <w:r>
        <w:rPr>
          <w:rFonts w:hint="eastAsia" w:ascii="仿宋" w:hAnsi="仿宋" w:eastAsia="仿宋" w:cs="仿宋"/>
          <w:color w:val="auto"/>
          <w:kern w:val="0"/>
          <w:sz w:val="24"/>
          <w:szCs w:val="24"/>
          <w:lang w:eastAsia="zh-CN"/>
        </w:rPr>
        <w:t>及响应文件</w:t>
      </w:r>
      <w:r>
        <w:rPr>
          <w:rFonts w:hint="eastAsia" w:ascii="仿宋" w:hAnsi="仿宋" w:eastAsia="仿宋" w:cs="仿宋"/>
          <w:color w:val="auto"/>
          <w:kern w:val="0"/>
          <w:sz w:val="24"/>
          <w:szCs w:val="24"/>
        </w:rPr>
        <w:t>中的售后服务承诺提供良好的服务。</w:t>
      </w:r>
    </w:p>
    <w:p w14:paraId="76A9713D">
      <w:pPr>
        <w:pStyle w:val="1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所有中标公司的产品需经临床试用两个月，在试用过程中如临床科室提出异议，应更换产品的生产厂家或者规格</w:t>
      </w:r>
      <w:r>
        <w:rPr>
          <w:rFonts w:hint="eastAsia" w:ascii="仿宋" w:hAnsi="仿宋" w:eastAsia="仿宋" w:cs="仿宋"/>
          <w:color w:val="auto"/>
          <w:kern w:val="0"/>
          <w:sz w:val="24"/>
          <w:szCs w:val="24"/>
          <w:highlight w:val="none"/>
          <w:lang w:eastAsia="zh-CN"/>
        </w:rPr>
        <w:t>。</w:t>
      </w:r>
    </w:p>
    <w:p w14:paraId="57D5BBB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 xml:space="preserve">     7.在合同执行期间，同品种耗材在使用过程中如甲方需采购其他规格型号的，采购价参考</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”上价格。</w:t>
      </w:r>
    </w:p>
    <w:p w14:paraId="69C89E75">
      <w:pPr>
        <w:pStyle w:val="31"/>
        <w:rPr>
          <w:rFonts w:hint="eastAsia" w:ascii="仿宋" w:hAnsi="仿宋" w:eastAsia="仿宋" w:cs="仿宋"/>
          <w:color w:val="auto"/>
          <w:sz w:val="24"/>
          <w:szCs w:val="24"/>
          <w:lang w:val="en-US" w:eastAsia="zh-CN"/>
        </w:rPr>
      </w:pPr>
    </w:p>
    <w:p w14:paraId="1D11A51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七、付款方式</w:t>
      </w:r>
    </w:p>
    <w:p w14:paraId="54DEEAB5">
      <w:pPr>
        <w:pStyle w:val="49"/>
        <w:keepNext w:val="0"/>
        <w:keepLines w:val="0"/>
        <w:pageBreakBefore w:val="0"/>
        <w:kinsoku/>
        <w:wordWrap/>
        <w:overflowPunct/>
        <w:topLinePunct w:val="0"/>
        <w:autoSpaceDE/>
        <w:autoSpaceDN/>
        <w:bidi w:val="0"/>
        <w:spacing w:line="360" w:lineRule="auto"/>
        <w:ind w:firstLine="436" w:firstLineChars="182"/>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lang w:val="en-US" w:eastAsia="zh-CN"/>
        </w:rPr>
        <w:t xml:space="preserve">1. </w:t>
      </w:r>
      <w:r>
        <w:rPr>
          <w:rFonts w:hint="eastAsia" w:ascii="仿宋" w:hAnsi="仿宋" w:eastAsia="仿宋" w:cs="仿宋"/>
          <w:color w:val="auto"/>
          <w:sz w:val="24"/>
          <w:szCs w:val="24"/>
        </w:rPr>
        <w:t>乙方每月底须向甲方出具合法有效完整的发票及凭证资料进行支付结算。甲方财务部门每月按照实际采购金额进行滚动付款。</w:t>
      </w:r>
      <w:r>
        <w:rPr>
          <w:rFonts w:hint="eastAsia" w:ascii="仿宋" w:hAnsi="仿宋" w:eastAsia="仿宋" w:cs="仿宋"/>
          <w:color w:val="auto"/>
          <w:kern w:val="0"/>
          <w:sz w:val="24"/>
          <w:szCs w:val="24"/>
        </w:rPr>
        <w:t xml:space="preserve"> </w:t>
      </w:r>
    </w:p>
    <w:p w14:paraId="0F9E39BC">
      <w:pPr>
        <w:pStyle w:val="50"/>
        <w:pageBreakBefore w:val="0"/>
        <w:numPr>
          <w:ilvl w:val="0"/>
          <w:numId w:val="0"/>
        </w:numPr>
        <w:kinsoku/>
        <w:wordWrap/>
        <w:overflowPunct/>
        <w:topLinePunct w:val="0"/>
        <w:bidi w:val="0"/>
        <w:spacing w:line="360" w:lineRule="auto"/>
        <w:ind w:firstLine="480" w:firstLineChars="200"/>
        <w:jc w:val="left"/>
        <w:rPr>
          <w:rFonts w:hint="eastAsia" w:ascii="仿宋" w:hAnsi="仿宋" w:eastAsia="仿宋" w:cs="仿宋"/>
          <w:color w:val="auto"/>
          <w:sz w:val="24"/>
          <w:szCs w:val="24"/>
          <w:lang w:val="zh-CN" w:eastAsia="zh-CN" w:bidi="ar-SA"/>
        </w:rPr>
      </w:pPr>
      <w:r>
        <w:rPr>
          <w:rFonts w:hint="eastAsia" w:ascii="仿宋" w:hAnsi="仿宋" w:eastAsia="仿宋" w:cs="仿宋"/>
          <w:color w:val="auto"/>
          <w:sz w:val="24"/>
          <w:szCs w:val="24"/>
          <w:lang w:val="en-US" w:eastAsia="zh-CN" w:bidi="ar-SA"/>
        </w:rPr>
        <w:t>2、</w:t>
      </w:r>
      <w:r>
        <w:rPr>
          <w:rFonts w:hint="eastAsia" w:ascii="仿宋" w:hAnsi="仿宋" w:eastAsia="仿宋" w:cs="仿宋"/>
          <w:color w:val="auto"/>
          <w:sz w:val="24"/>
          <w:szCs w:val="24"/>
          <w:lang w:val="zh-CN" w:eastAsia="zh-CN" w:bidi="ar-SA"/>
        </w:rPr>
        <w:t>履约保证金退还：耗材供货后</w:t>
      </w:r>
      <w:r>
        <w:rPr>
          <w:rFonts w:hint="eastAsia" w:ascii="仿宋" w:hAnsi="仿宋" w:eastAsia="仿宋" w:cs="仿宋"/>
          <w:color w:val="auto"/>
          <w:sz w:val="24"/>
          <w:szCs w:val="24"/>
          <w:lang w:val="en-US" w:eastAsia="zh-CN" w:bidi="ar-SA"/>
        </w:rPr>
        <w:t>6个月，</w:t>
      </w:r>
      <w:r>
        <w:rPr>
          <w:rFonts w:hint="eastAsia" w:ascii="仿宋" w:hAnsi="仿宋" w:eastAsia="仿宋" w:cs="仿宋"/>
          <w:color w:val="auto"/>
          <w:sz w:val="24"/>
          <w:szCs w:val="24"/>
          <w:lang w:val="zh-CN" w:eastAsia="zh-CN" w:bidi="ar-SA"/>
        </w:rPr>
        <w:t>货物无任何质量问题且中标人履行了售后服务义务，采购人凭中标人提供的退还履约保证金申请无息退还履约保证金。</w:t>
      </w:r>
      <w:r>
        <w:rPr>
          <w:rFonts w:hint="eastAsia" w:ascii="仿宋" w:hAnsi="仿宋" w:eastAsia="仿宋" w:cs="仿宋"/>
          <w:color w:val="auto"/>
          <w:sz w:val="24"/>
          <w:szCs w:val="24"/>
          <w:lang w:val="en-US" w:eastAsia="zh-CN" w:bidi="ar-SA"/>
        </w:rPr>
        <w:t>乙方履约不合格的，履约保证金不予退还。</w:t>
      </w:r>
    </w:p>
    <w:p w14:paraId="650E734D">
      <w:pPr>
        <w:pStyle w:val="12"/>
        <w:numPr>
          <w:ilvl w:val="0"/>
          <w:numId w:val="0"/>
        </w:numPr>
        <w:spacing w:line="360" w:lineRule="auto"/>
        <w:ind w:right="292" w:rightChars="0" w:firstLine="456" w:firstLineChars="200"/>
        <w:jc w:val="both"/>
        <w:rPr>
          <w:rFonts w:hint="eastAsia" w:ascii="仿宋" w:hAnsi="仿宋" w:eastAsia="仿宋" w:cs="仿宋"/>
          <w:color w:val="auto"/>
          <w:spacing w:val="-6"/>
          <w:kern w:val="0"/>
          <w:sz w:val="24"/>
          <w:szCs w:val="24"/>
          <w:lang w:val="zh-CN" w:eastAsia="zh-CN" w:bidi="zh-CN"/>
        </w:rPr>
      </w:pPr>
      <w:r>
        <w:rPr>
          <w:rFonts w:hint="eastAsia" w:ascii="仿宋" w:hAnsi="仿宋" w:eastAsia="仿宋" w:cs="仿宋"/>
          <w:color w:val="auto"/>
          <w:spacing w:val="-6"/>
          <w:kern w:val="0"/>
          <w:sz w:val="24"/>
          <w:szCs w:val="24"/>
          <w:lang w:val="en-US" w:eastAsia="zh-CN" w:bidi="zh-CN"/>
        </w:rPr>
        <w:t>3、</w:t>
      </w:r>
      <w:r>
        <w:rPr>
          <w:rFonts w:hint="eastAsia" w:ascii="仿宋" w:hAnsi="仿宋" w:eastAsia="仿宋" w:cs="仿宋"/>
          <w:color w:val="auto"/>
          <w:spacing w:val="-6"/>
          <w:kern w:val="0"/>
          <w:sz w:val="24"/>
          <w:szCs w:val="24"/>
          <w:lang w:val="zh-CN" w:eastAsia="zh-CN" w:bidi="zh-CN"/>
        </w:rPr>
        <w:t>乙方须向甲方出具合法有效完整的完税发票及凭证资料后进行支付结算，付款方式均采用公对公的银行转账，乙方接受转账的开户信息以本协议载明的为准。</w:t>
      </w:r>
    </w:p>
    <w:p w14:paraId="6D325E79">
      <w:pPr>
        <w:pStyle w:val="49"/>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rPr>
      </w:pPr>
    </w:p>
    <w:p w14:paraId="39896C3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八</w:t>
      </w:r>
      <w:r>
        <w:rPr>
          <w:rFonts w:hint="eastAsia" w:ascii="仿宋" w:hAnsi="仿宋" w:eastAsia="仿宋" w:cs="仿宋"/>
          <w:b/>
          <w:color w:val="auto"/>
          <w:kern w:val="0"/>
          <w:sz w:val="24"/>
          <w:szCs w:val="24"/>
        </w:rPr>
        <w:t>、违约责任</w:t>
      </w:r>
    </w:p>
    <w:p w14:paraId="3523822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甲乙双方均应遵守本合同，如有违约，将赔偿因违约给对方造成的经济损失，因不可抗拒力所导致的交货及付款延迟等按照《中华人民共和国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》有关条文及本合同第</w:t>
      </w:r>
      <w:r>
        <w:rPr>
          <w:rFonts w:hint="eastAsia" w:ascii="仿宋" w:hAnsi="仿宋" w:eastAsia="仿宋" w:cs="仿宋"/>
          <w:color w:val="auto"/>
          <w:kern w:val="0"/>
          <w:sz w:val="24"/>
          <w:szCs w:val="24"/>
          <w:lang w:eastAsia="zh-CN"/>
        </w:rPr>
        <w:t>九</w:t>
      </w:r>
      <w:r>
        <w:rPr>
          <w:rFonts w:hint="eastAsia" w:ascii="仿宋" w:hAnsi="仿宋" w:eastAsia="仿宋" w:cs="仿宋"/>
          <w:color w:val="auto"/>
          <w:kern w:val="0"/>
          <w:sz w:val="24"/>
          <w:szCs w:val="24"/>
        </w:rPr>
        <w:t>条处理。</w:t>
      </w:r>
    </w:p>
    <w:p w14:paraId="5CB6E806">
      <w:pPr>
        <w:pStyle w:val="31"/>
        <w:rPr>
          <w:rFonts w:hint="eastAsia" w:ascii="仿宋" w:hAnsi="仿宋" w:eastAsia="仿宋" w:cs="仿宋"/>
          <w:color w:val="auto"/>
          <w:sz w:val="24"/>
          <w:szCs w:val="24"/>
        </w:rPr>
      </w:pPr>
    </w:p>
    <w:p w14:paraId="24B94FE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九</w:t>
      </w:r>
      <w:r>
        <w:rPr>
          <w:rFonts w:hint="eastAsia" w:ascii="仿宋" w:hAnsi="仿宋" w:eastAsia="仿宋" w:cs="仿宋"/>
          <w:b/>
          <w:color w:val="auto"/>
          <w:kern w:val="0"/>
          <w:sz w:val="24"/>
          <w:szCs w:val="24"/>
        </w:rPr>
        <w:t xml:space="preserve">、不可抗力 </w:t>
      </w:r>
    </w:p>
    <w:p w14:paraId="41EA1C4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4A199A6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lang w:eastAsia="zh-CN"/>
        </w:rPr>
        <w:t>如因政策原因无法继续履行合同，双方无条件终止此合同。</w:t>
      </w:r>
    </w:p>
    <w:p w14:paraId="724EF763">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lang w:eastAsia="zh-CN"/>
        </w:rPr>
        <w:t>十</w:t>
      </w:r>
      <w:r>
        <w:rPr>
          <w:rFonts w:hint="eastAsia" w:ascii="仿宋" w:hAnsi="仿宋" w:eastAsia="仿宋" w:cs="仿宋"/>
          <w:b/>
          <w:bCs/>
          <w:color w:val="auto"/>
          <w:kern w:val="0"/>
          <w:sz w:val="24"/>
          <w:szCs w:val="24"/>
        </w:rPr>
        <w:t>、</w:t>
      </w:r>
      <w:r>
        <w:rPr>
          <w:rFonts w:hint="eastAsia" w:ascii="仿宋" w:hAnsi="仿宋" w:eastAsia="仿宋" w:cs="仿宋"/>
          <w:color w:val="auto"/>
          <w:kern w:val="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68208F8B">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一</w:t>
      </w:r>
      <w:r>
        <w:rPr>
          <w:rFonts w:hint="eastAsia" w:ascii="仿宋" w:hAnsi="仿宋" w:eastAsia="仿宋" w:cs="仿宋"/>
          <w:b/>
          <w:color w:val="auto"/>
          <w:kern w:val="0"/>
          <w:sz w:val="24"/>
          <w:szCs w:val="24"/>
        </w:rPr>
        <w:t>、争议</w:t>
      </w:r>
    </w:p>
    <w:p w14:paraId="6D65CD7E">
      <w:pPr>
        <w:keepNext w:val="0"/>
        <w:keepLines w:val="0"/>
        <w:pageBreakBefore w:val="0"/>
        <w:widowControl/>
        <w:kinsoku/>
        <w:wordWrap/>
        <w:overflowPunct/>
        <w:topLinePunct w:val="0"/>
        <w:autoSpaceDE/>
        <w:autoSpaceDN/>
        <w:bidi w:val="0"/>
        <w:spacing w:before="240" w:after="240"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双方本着友好合作的态度，对合同履行过程中发生的违约行为进行及时的协商解决，如不能协商解决可向合同</w:t>
      </w:r>
      <w:r>
        <w:rPr>
          <w:rFonts w:hint="eastAsia" w:ascii="仿宋" w:hAnsi="仿宋" w:eastAsia="仿宋" w:cs="仿宋"/>
          <w:color w:val="auto"/>
          <w:kern w:val="0"/>
          <w:sz w:val="24"/>
          <w:szCs w:val="24"/>
          <w:lang w:eastAsia="zh-CN"/>
        </w:rPr>
        <w:t>甲方住所</w:t>
      </w:r>
      <w:r>
        <w:rPr>
          <w:rFonts w:hint="eastAsia" w:ascii="仿宋" w:hAnsi="仿宋" w:eastAsia="仿宋" w:cs="仿宋"/>
          <w:color w:val="auto"/>
          <w:kern w:val="0"/>
          <w:sz w:val="24"/>
          <w:szCs w:val="24"/>
        </w:rPr>
        <w:t>地法院通过法律诉讼解决。</w:t>
      </w:r>
    </w:p>
    <w:p w14:paraId="3EC23FC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二</w:t>
      </w:r>
      <w:r>
        <w:rPr>
          <w:rFonts w:hint="eastAsia" w:ascii="仿宋" w:hAnsi="仿宋" w:eastAsia="仿宋" w:cs="仿宋"/>
          <w:b/>
          <w:color w:val="auto"/>
          <w:kern w:val="0"/>
          <w:sz w:val="24"/>
          <w:szCs w:val="24"/>
        </w:rPr>
        <w:t>、其它</w:t>
      </w:r>
    </w:p>
    <w:p w14:paraId="3A2CD75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本合同一式</w:t>
      </w:r>
      <w:r>
        <w:rPr>
          <w:rFonts w:hint="eastAsia" w:ascii="仿宋" w:hAnsi="仿宋" w:eastAsia="仿宋" w:cs="仿宋"/>
          <w:color w:val="auto"/>
          <w:kern w:val="0"/>
          <w:sz w:val="24"/>
          <w:szCs w:val="24"/>
          <w:lang w:eastAsia="zh-CN"/>
        </w:rPr>
        <w:t>陆</w:t>
      </w:r>
      <w:r>
        <w:rPr>
          <w:rFonts w:hint="eastAsia" w:ascii="仿宋" w:hAnsi="仿宋" w:eastAsia="仿宋" w:cs="仿宋"/>
          <w:color w:val="auto"/>
          <w:kern w:val="0"/>
          <w:sz w:val="24"/>
          <w:szCs w:val="24"/>
        </w:rPr>
        <w:t>份，甲方</w:t>
      </w:r>
      <w:r>
        <w:rPr>
          <w:rFonts w:hint="eastAsia" w:ascii="仿宋" w:hAnsi="仿宋" w:eastAsia="仿宋" w:cs="仿宋"/>
          <w:color w:val="auto"/>
          <w:kern w:val="0"/>
          <w:sz w:val="24"/>
          <w:szCs w:val="24"/>
          <w:lang w:eastAsia="zh-CN"/>
        </w:rPr>
        <w:t>四份</w:t>
      </w:r>
      <w:r>
        <w:rPr>
          <w:rFonts w:hint="eastAsia" w:ascii="仿宋" w:hAnsi="仿宋" w:eastAsia="仿宋" w:cs="仿宋"/>
          <w:color w:val="auto"/>
          <w:kern w:val="0"/>
          <w:sz w:val="24"/>
          <w:szCs w:val="24"/>
        </w:rPr>
        <w:t>、乙方一份</w:t>
      </w:r>
      <w:r>
        <w:rPr>
          <w:rFonts w:hint="eastAsia" w:ascii="仿宋" w:hAnsi="仿宋" w:eastAsia="仿宋" w:cs="仿宋"/>
          <w:color w:val="auto"/>
          <w:kern w:val="0"/>
          <w:sz w:val="24"/>
          <w:szCs w:val="24"/>
          <w:lang w:eastAsia="zh-CN"/>
        </w:rPr>
        <w:t>、代理一份</w:t>
      </w:r>
      <w:r>
        <w:rPr>
          <w:rFonts w:hint="eastAsia" w:ascii="仿宋" w:hAnsi="仿宋" w:eastAsia="仿宋" w:cs="仿宋"/>
          <w:color w:val="auto"/>
          <w:kern w:val="0"/>
          <w:sz w:val="24"/>
          <w:szCs w:val="24"/>
        </w:rPr>
        <w:t>。</w:t>
      </w:r>
    </w:p>
    <w:p w14:paraId="434B57E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本合同自签订之日起生效。</w:t>
      </w:r>
    </w:p>
    <w:p w14:paraId="71FB63B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本项目的</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文件等是本合同的附件，与合同具有同等的法律效力。</w:t>
      </w:r>
    </w:p>
    <w:p w14:paraId="16B6DC5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其它未尽事宜，由双方友好协商解决，并参照《中华人民共和国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》有关条款执行。</w:t>
      </w:r>
    </w:p>
    <w:p w14:paraId="6745FAC7">
      <w:pPr>
        <w:widowControl/>
        <w:spacing w:line="440" w:lineRule="exact"/>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（附：乙方报价表）</w:t>
      </w:r>
    </w:p>
    <w:tbl>
      <w:tblPr>
        <w:tblStyle w:val="32"/>
        <w:tblpPr w:leftFromText="180" w:rightFromText="180" w:vertAnchor="text" w:horzAnchor="page" w:tblpX="1497" w:tblpY="482"/>
        <w:tblOverlap w:val="never"/>
        <w:tblW w:w="480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37"/>
        <w:gridCol w:w="4727"/>
      </w:tblGrid>
      <w:tr w14:paraId="4E011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503" w:type="pct"/>
            <w:tcBorders>
              <w:top w:val="single" w:color="auto" w:sz="4" w:space="0"/>
              <w:left w:val="single" w:color="auto" w:sz="4" w:space="0"/>
              <w:bottom w:val="single" w:color="auto" w:sz="4" w:space="0"/>
              <w:right w:val="single" w:color="auto" w:sz="4" w:space="0"/>
            </w:tcBorders>
            <w:noWrap/>
            <w:vAlign w:val="top"/>
          </w:tcPr>
          <w:p w14:paraId="489584C5">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甲方（盖章）：富顺县中医医院 </w:t>
            </w:r>
          </w:p>
          <w:p w14:paraId="69D924D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甲方代表（签字）：</w:t>
            </w:r>
          </w:p>
          <w:p w14:paraId="2477CA9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地址：富顺县东湖大道1801号 </w:t>
            </w:r>
          </w:p>
          <w:p w14:paraId="24DB4A1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电话：0813-5197655</w:t>
            </w:r>
          </w:p>
          <w:p w14:paraId="640D8E13">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开户银行：四川富顺农村商业银行股份有限公司营业部</w:t>
            </w:r>
          </w:p>
          <w:p w14:paraId="0472C16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开户帐号：11820120000037316</w:t>
            </w:r>
          </w:p>
          <w:p w14:paraId="47F5B6E7">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c>
          <w:tcPr>
            <w:tcW w:w="2496" w:type="pct"/>
            <w:tcBorders>
              <w:top w:val="single" w:color="auto" w:sz="4" w:space="0"/>
              <w:left w:val="single" w:color="auto" w:sz="4" w:space="0"/>
              <w:bottom w:val="single" w:color="auto" w:sz="4" w:space="0"/>
              <w:right w:val="single" w:color="auto" w:sz="4" w:space="0"/>
            </w:tcBorders>
            <w:noWrap/>
            <w:vAlign w:val="top"/>
          </w:tcPr>
          <w:p w14:paraId="23F75A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乙方（盖章）： </w:t>
            </w:r>
          </w:p>
          <w:p w14:paraId="0BCD2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乙方代表（签字）：</w:t>
            </w:r>
          </w:p>
          <w:p w14:paraId="26DBD6A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 </w:t>
            </w:r>
          </w:p>
          <w:p w14:paraId="6966927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电话： </w:t>
            </w:r>
          </w:p>
          <w:p w14:paraId="7F52A3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开户银行：</w:t>
            </w:r>
          </w:p>
          <w:p w14:paraId="39ED27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开户帐号： </w:t>
            </w:r>
          </w:p>
          <w:p w14:paraId="13F1AC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r>
    </w:tbl>
    <w:p w14:paraId="5CA5722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6343AE1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F894CF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52D7C6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br w:type="page"/>
      </w:r>
      <w:bookmarkStart w:id="476" w:name="_Toc9620"/>
      <w:bookmarkStart w:id="477" w:name="_Toc6133"/>
      <w:bookmarkStart w:id="478" w:name="_Toc23263"/>
      <w:bookmarkStart w:id="479" w:name="_Toc13939"/>
      <w:bookmarkStart w:id="480" w:name="_Toc9541"/>
      <w:bookmarkStart w:id="481" w:name="_Toc29257"/>
      <w:r>
        <w:rPr>
          <w:rFonts w:hint="eastAsia" w:ascii="仿宋" w:hAnsi="仿宋" w:eastAsia="仿宋" w:cs="仿宋"/>
          <w:b/>
          <w:bCs/>
          <w:color w:val="auto"/>
          <w:sz w:val="36"/>
          <w:szCs w:val="36"/>
          <w:highlight w:val="none"/>
          <w:lang w:val="en-US" w:eastAsia="zh-CN"/>
        </w:rPr>
        <w:t>第九章  附件</w:t>
      </w:r>
      <w:bookmarkEnd w:id="476"/>
      <w:bookmarkEnd w:id="477"/>
      <w:bookmarkEnd w:id="478"/>
      <w:bookmarkEnd w:id="479"/>
      <w:bookmarkEnd w:id="480"/>
      <w:bookmarkEnd w:id="481"/>
    </w:p>
    <w:p w14:paraId="12290EF9">
      <w:pPr>
        <w:pStyle w:val="12"/>
        <w:rPr>
          <w:color w:val="auto"/>
          <w:lang w:val="en-US" w:eastAsia="zh-CN"/>
        </w:rPr>
      </w:pPr>
    </w:p>
    <w:p w14:paraId="1BB9BF0B">
      <w:pPr>
        <w:spacing w:line="360" w:lineRule="auto"/>
        <w:jc w:val="left"/>
        <w:outlineLvl w:val="1"/>
        <w:rPr>
          <w:rFonts w:hint="eastAsia" w:ascii="仿宋" w:hAnsi="仿宋" w:eastAsia="仿宋" w:cs="仿宋"/>
          <w:b/>
          <w:bCs/>
          <w:color w:val="auto"/>
          <w:kern w:val="44"/>
          <w:sz w:val="30"/>
          <w:szCs w:val="30"/>
        </w:rPr>
      </w:pPr>
      <w:bookmarkStart w:id="482" w:name="_Toc21978"/>
      <w:bookmarkStart w:id="483" w:name="_Toc16627"/>
      <w:bookmarkStart w:id="484" w:name="_Toc8370"/>
      <w:r>
        <w:rPr>
          <w:rFonts w:hint="eastAsia" w:ascii="仿宋" w:hAnsi="仿宋" w:eastAsia="仿宋" w:cs="仿宋"/>
          <w:b/>
          <w:bCs/>
          <w:color w:val="auto"/>
          <w:kern w:val="44"/>
          <w:sz w:val="30"/>
          <w:szCs w:val="30"/>
        </w:rPr>
        <w:t>附件</w:t>
      </w:r>
      <w:bookmarkEnd w:id="482"/>
      <w:r>
        <w:rPr>
          <w:rFonts w:hint="eastAsia" w:ascii="仿宋" w:hAnsi="仿宋" w:eastAsia="仿宋" w:cs="仿宋"/>
          <w:b/>
          <w:bCs/>
          <w:color w:val="auto"/>
          <w:kern w:val="44"/>
          <w:sz w:val="30"/>
          <w:szCs w:val="30"/>
          <w:lang w:val="en-US" w:eastAsia="zh-CN"/>
        </w:rPr>
        <w:t xml:space="preserve">1 </w:t>
      </w:r>
      <w:r>
        <w:rPr>
          <w:rFonts w:hint="eastAsia" w:ascii="仿宋" w:hAnsi="仿宋" w:eastAsia="仿宋" w:cs="仿宋"/>
          <w:b/>
          <w:bCs/>
          <w:color w:val="auto"/>
          <w:kern w:val="44"/>
          <w:sz w:val="30"/>
          <w:szCs w:val="30"/>
        </w:rPr>
        <w:t xml:space="preserve"> 报名登记表</w:t>
      </w:r>
      <w:bookmarkEnd w:id="483"/>
      <w:bookmarkEnd w:id="484"/>
    </w:p>
    <w:p w14:paraId="33E89B6C">
      <w:pPr>
        <w:spacing w:line="360" w:lineRule="auto"/>
        <w:jc w:val="center"/>
        <w:outlineLvl w:val="9"/>
        <w:rPr>
          <w:rFonts w:hint="eastAsia" w:ascii="仿宋" w:hAnsi="仿宋" w:eastAsia="仿宋" w:cs="仿宋"/>
          <w:b/>
          <w:bCs/>
          <w:color w:val="auto"/>
          <w:kern w:val="44"/>
          <w:sz w:val="30"/>
          <w:szCs w:val="30"/>
        </w:rPr>
      </w:pPr>
      <w:r>
        <w:rPr>
          <w:rFonts w:hint="eastAsia" w:ascii="仿宋" w:hAnsi="仿宋" w:eastAsia="仿宋" w:cs="仿宋"/>
          <w:b/>
          <w:bCs/>
          <w:color w:val="auto"/>
          <w:kern w:val="44"/>
          <w:sz w:val="30"/>
          <w:szCs w:val="30"/>
        </w:rPr>
        <w:t>报名登记表</w:t>
      </w:r>
    </w:p>
    <w:tbl>
      <w:tblPr>
        <w:tblStyle w:val="32"/>
        <w:tblW w:w="0" w:type="auto"/>
        <w:tblInd w:w="0" w:type="dxa"/>
        <w:tblLayout w:type="fixed"/>
        <w:tblCellMar>
          <w:top w:w="15" w:type="dxa"/>
          <w:left w:w="15" w:type="dxa"/>
          <w:bottom w:w="15" w:type="dxa"/>
          <w:right w:w="15" w:type="dxa"/>
        </w:tblCellMar>
      </w:tblPr>
      <w:tblGrid>
        <w:gridCol w:w="2590"/>
        <w:gridCol w:w="7022"/>
      </w:tblGrid>
      <w:tr w14:paraId="1D054721">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14:paraId="34A4B99A">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项目编号(必填）</w:t>
            </w:r>
          </w:p>
        </w:tc>
        <w:tc>
          <w:tcPr>
            <w:tcW w:w="7022" w:type="dxa"/>
            <w:tcBorders>
              <w:top w:val="single" w:color="auto" w:sz="4" w:space="0"/>
              <w:left w:val="single" w:color="auto" w:sz="4" w:space="0"/>
              <w:bottom w:val="single" w:color="auto" w:sz="4" w:space="0"/>
              <w:right w:val="single" w:color="auto" w:sz="4" w:space="0"/>
            </w:tcBorders>
            <w:noWrap w:val="0"/>
            <w:vAlign w:val="center"/>
          </w:tcPr>
          <w:p w14:paraId="059105DE">
            <w:pPr>
              <w:widowControl/>
              <w:spacing w:line="360" w:lineRule="auto"/>
              <w:jc w:val="left"/>
              <w:textAlignment w:val="center"/>
              <w:rPr>
                <w:rFonts w:hint="eastAsia" w:ascii="仿宋" w:hAnsi="仿宋" w:eastAsia="仿宋" w:cs="仿宋"/>
                <w:color w:val="auto"/>
                <w:kern w:val="0"/>
                <w:sz w:val="24"/>
                <w:lang w:bidi="ar"/>
              </w:rPr>
            </w:pPr>
          </w:p>
        </w:tc>
      </w:tr>
      <w:tr w14:paraId="4376FCFD">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31B91B6E">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项目名称(必填）</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36A581C0">
            <w:pPr>
              <w:widowControl/>
              <w:spacing w:line="360" w:lineRule="auto"/>
              <w:jc w:val="left"/>
              <w:textAlignment w:val="center"/>
              <w:rPr>
                <w:rFonts w:hint="eastAsia" w:ascii="仿宋" w:hAnsi="仿宋" w:eastAsia="仿宋" w:cs="仿宋"/>
                <w:color w:val="auto"/>
                <w:kern w:val="0"/>
                <w:sz w:val="24"/>
                <w:lang w:bidi="ar"/>
              </w:rPr>
            </w:pPr>
          </w:p>
        </w:tc>
      </w:tr>
      <w:tr w14:paraId="6B40ED9C">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5A4F7747">
            <w:pPr>
              <w:spacing w:line="360"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包       号</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1BE01F85">
            <w:pPr>
              <w:widowControl/>
              <w:spacing w:line="360" w:lineRule="auto"/>
              <w:jc w:val="left"/>
              <w:textAlignment w:val="center"/>
              <w:rPr>
                <w:rFonts w:hint="eastAsia" w:ascii="仿宋" w:hAnsi="仿宋" w:eastAsia="仿宋" w:cs="仿宋"/>
                <w:color w:val="auto"/>
                <w:kern w:val="0"/>
                <w:sz w:val="24"/>
                <w:lang w:bidi="ar"/>
              </w:rPr>
            </w:pPr>
          </w:p>
        </w:tc>
      </w:tr>
      <w:tr w14:paraId="57A670E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noWrap w:val="0"/>
            <w:vAlign w:val="center"/>
          </w:tcPr>
          <w:p w14:paraId="64273AF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单位名称(必填）</w:t>
            </w:r>
          </w:p>
        </w:tc>
        <w:tc>
          <w:tcPr>
            <w:tcW w:w="7022" w:type="dxa"/>
            <w:tcBorders>
              <w:top w:val="single" w:color="000000" w:sz="4" w:space="0"/>
              <w:left w:val="single" w:color="auto" w:sz="4" w:space="0"/>
              <w:bottom w:val="single" w:color="000000" w:sz="4" w:space="0"/>
              <w:right w:val="single" w:color="000000" w:sz="4" w:space="0"/>
            </w:tcBorders>
            <w:noWrap w:val="0"/>
            <w:vAlign w:val="center"/>
          </w:tcPr>
          <w:p w14:paraId="000C5470">
            <w:pPr>
              <w:spacing w:line="360" w:lineRule="auto"/>
              <w:rPr>
                <w:rFonts w:hint="eastAsia" w:ascii="仿宋" w:hAnsi="仿宋" w:eastAsia="仿宋" w:cs="仿宋"/>
                <w:color w:val="auto"/>
                <w:sz w:val="24"/>
              </w:rPr>
            </w:pPr>
            <w:r>
              <w:rPr>
                <w:rFonts w:hint="eastAsia" w:ascii="仿宋" w:hAnsi="仿宋" w:eastAsia="仿宋" w:cs="仿宋"/>
                <w:color w:val="auto"/>
                <w:sz w:val="24"/>
              </w:rPr>
              <w:t xml:space="preserve">                                             （加盖公章）</w:t>
            </w:r>
          </w:p>
        </w:tc>
      </w:tr>
      <w:tr w14:paraId="38F46C0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077019D">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单位地址(必填）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1755E45B">
            <w:pPr>
              <w:spacing w:line="360" w:lineRule="auto"/>
              <w:rPr>
                <w:rFonts w:hint="eastAsia" w:ascii="仿宋" w:hAnsi="仿宋" w:eastAsia="仿宋" w:cs="仿宋"/>
                <w:color w:val="auto"/>
                <w:sz w:val="24"/>
              </w:rPr>
            </w:pPr>
          </w:p>
        </w:tc>
      </w:tr>
      <w:tr w14:paraId="31F1EC7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5F530C97">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购买文件时间(必填）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B110837">
            <w:pPr>
              <w:spacing w:line="360" w:lineRule="auto"/>
              <w:rPr>
                <w:rFonts w:hint="eastAsia" w:ascii="仿宋" w:hAnsi="仿宋" w:eastAsia="仿宋" w:cs="仿宋"/>
                <w:color w:val="auto"/>
                <w:sz w:val="24"/>
              </w:rPr>
            </w:pPr>
          </w:p>
        </w:tc>
      </w:tr>
      <w:tr w14:paraId="58DD2222">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0F81EDF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联系人(必填）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6DB1933">
            <w:pPr>
              <w:spacing w:line="360" w:lineRule="auto"/>
              <w:rPr>
                <w:rFonts w:hint="eastAsia" w:ascii="仿宋" w:hAnsi="仿宋" w:eastAsia="仿宋" w:cs="仿宋"/>
                <w:color w:val="auto"/>
                <w:sz w:val="24"/>
              </w:rPr>
            </w:pPr>
          </w:p>
        </w:tc>
      </w:tr>
      <w:tr w14:paraId="4D731F4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1D65E06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单位固定电话</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642FA23A">
            <w:pPr>
              <w:spacing w:line="360" w:lineRule="auto"/>
              <w:rPr>
                <w:rFonts w:hint="eastAsia" w:ascii="仿宋" w:hAnsi="仿宋" w:eastAsia="仿宋" w:cs="仿宋"/>
                <w:color w:val="auto"/>
                <w:sz w:val="24"/>
              </w:rPr>
            </w:pPr>
          </w:p>
        </w:tc>
      </w:tr>
      <w:tr w14:paraId="561006F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3953C04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经办人移动电话(必填）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C34B841">
            <w:pPr>
              <w:spacing w:line="360" w:lineRule="auto"/>
              <w:rPr>
                <w:rFonts w:hint="eastAsia" w:ascii="仿宋" w:hAnsi="仿宋" w:eastAsia="仿宋" w:cs="仿宋"/>
                <w:color w:val="auto"/>
                <w:sz w:val="24"/>
              </w:rPr>
            </w:pPr>
          </w:p>
        </w:tc>
      </w:tr>
      <w:tr w14:paraId="29DA82E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4BE9A7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单位传真</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3E88581A">
            <w:pPr>
              <w:spacing w:line="360" w:lineRule="auto"/>
              <w:rPr>
                <w:rFonts w:hint="eastAsia" w:ascii="仿宋" w:hAnsi="仿宋" w:eastAsia="仿宋" w:cs="仿宋"/>
                <w:color w:val="auto"/>
                <w:sz w:val="24"/>
              </w:rPr>
            </w:pPr>
          </w:p>
        </w:tc>
      </w:tr>
      <w:tr w14:paraId="412EADCE">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62799A4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电子邮箱(必填）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DE959D8">
            <w:pPr>
              <w:spacing w:line="360" w:lineRule="auto"/>
              <w:rPr>
                <w:rFonts w:hint="eastAsia" w:ascii="仿宋" w:hAnsi="仿宋" w:eastAsia="仿宋" w:cs="仿宋"/>
                <w:color w:val="auto"/>
                <w:sz w:val="24"/>
              </w:rPr>
            </w:pPr>
          </w:p>
        </w:tc>
      </w:tr>
      <w:tr w14:paraId="0838D7FA">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2AB7D3D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    注</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584A72A">
            <w:pPr>
              <w:spacing w:line="360" w:lineRule="auto"/>
              <w:rPr>
                <w:rFonts w:hint="eastAsia" w:ascii="仿宋" w:hAnsi="仿宋" w:eastAsia="仿宋" w:cs="仿宋"/>
                <w:color w:val="auto"/>
                <w:sz w:val="24"/>
              </w:rPr>
            </w:pPr>
          </w:p>
        </w:tc>
      </w:tr>
    </w:tbl>
    <w:p w14:paraId="70BBA342">
      <w:pPr>
        <w:spacing w:line="360" w:lineRule="auto"/>
        <w:jc w:val="center"/>
        <w:outlineLvl w:val="9"/>
        <w:rPr>
          <w:rFonts w:hint="eastAsia" w:ascii="仿宋" w:hAnsi="仿宋" w:eastAsia="仿宋" w:cs="仿宋"/>
          <w:b/>
          <w:bCs/>
          <w:color w:val="auto"/>
          <w:kern w:val="44"/>
          <w:sz w:val="30"/>
          <w:szCs w:val="30"/>
        </w:rPr>
      </w:pPr>
    </w:p>
    <w:p w14:paraId="5A1C858B">
      <w:pPr>
        <w:pStyle w:val="13"/>
        <w:rPr>
          <w:color w:val="auto"/>
          <w:lang w:val="en-US" w:eastAsia="zh-CN"/>
        </w:rPr>
      </w:pPr>
    </w:p>
    <w:p w14:paraId="66C72DC2">
      <w:pPr>
        <w:pStyle w:val="13"/>
        <w:rPr>
          <w:color w:val="auto"/>
          <w:lang w:val="en-US" w:eastAsia="zh-CN"/>
        </w:rPr>
      </w:pPr>
    </w:p>
    <w:p w14:paraId="7FE9155D">
      <w:pPr>
        <w:pStyle w:val="13"/>
        <w:rPr>
          <w:color w:val="auto"/>
          <w:lang w:val="en-US" w:eastAsia="zh-CN"/>
        </w:rPr>
      </w:pPr>
    </w:p>
    <w:p w14:paraId="7D35E227">
      <w:pPr>
        <w:pStyle w:val="13"/>
        <w:rPr>
          <w:color w:val="auto"/>
          <w:lang w:val="en-US" w:eastAsia="zh-CN"/>
        </w:rPr>
      </w:pPr>
    </w:p>
    <w:p w14:paraId="24E2CFAF">
      <w:pPr>
        <w:pStyle w:val="29"/>
        <w:shd w:val="clear" w:color="auto" w:fill="FFFFFF"/>
        <w:spacing w:before="0" w:beforeAutospacing="0" w:after="0" w:afterAutospacing="0" w:line="285" w:lineRule="atLeast"/>
        <w:ind w:left="0" w:leftChars="0" w:firstLine="0" w:firstLineChars="0"/>
        <w:jc w:val="both"/>
        <w:outlineLvl w:val="1"/>
        <w:rPr>
          <w:rFonts w:hint="eastAsia" w:ascii="仿宋" w:hAnsi="仿宋" w:eastAsia="仿宋" w:cs="Times New Roman"/>
          <w:b/>
          <w:bCs/>
          <w:color w:val="auto"/>
          <w:kern w:val="2"/>
          <w:sz w:val="36"/>
          <w:szCs w:val="36"/>
          <w:lang w:val="en-US" w:eastAsia="zh-CN" w:bidi="ar-SA"/>
        </w:rPr>
      </w:pPr>
      <w:bookmarkStart w:id="485" w:name="_Toc24268"/>
      <w:r>
        <w:rPr>
          <w:rFonts w:hint="eastAsia" w:ascii="仿宋" w:hAnsi="仿宋" w:eastAsia="仿宋" w:cs="Times New Roman"/>
          <w:b/>
          <w:bCs/>
          <w:color w:val="auto"/>
          <w:kern w:val="2"/>
          <w:sz w:val="36"/>
          <w:szCs w:val="36"/>
          <w:lang w:val="en-US" w:eastAsia="zh-CN" w:bidi="ar-SA"/>
        </w:rPr>
        <w:t xml:space="preserve">附件2  </w:t>
      </w:r>
      <w:r>
        <w:rPr>
          <w:rFonts w:hint="eastAsia" w:ascii="仿宋" w:hAnsi="仿宋" w:eastAsia="仿宋" w:cs="Times New Roman"/>
          <w:b/>
          <w:bCs/>
          <w:color w:val="auto"/>
          <w:kern w:val="2"/>
          <w:sz w:val="36"/>
          <w:szCs w:val="36"/>
          <w:lang w:val="en-US" w:eastAsia="zh-CN" w:bidi="ar-SA"/>
        </w:rPr>
        <w:t>医疗设备、耗材廉洁购销协议</w:t>
      </w:r>
      <w:bookmarkEnd w:id="485"/>
    </w:p>
    <w:p w14:paraId="079FB699">
      <w:pPr>
        <w:pStyle w:val="29"/>
        <w:shd w:val="clear" w:color="auto" w:fill="FFFFFF"/>
        <w:spacing w:before="0" w:beforeAutospacing="0" w:after="0" w:afterAutospacing="0" w:line="285" w:lineRule="atLeast"/>
        <w:ind w:left="0" w:leftChars="0" w:firstLine="0" w:firstLineChars="0"/>
        <w:outlineLvl w:val="1"/>
        <w:rPr>
          <w:rFonts w:hint="eastAsia" w:ascii="仿宋" w:hAnsi="仿宋" w:eastAsia="仿宋" w:cs="Times New Roman"/>
          <w:b/>
          <w:bCs/>
          <w:color w:val="auto"/>
          <w:kern w:val="2"/>
          <w:sz w:val="36"/>
          <w:szCs w:val="36"/>
          <w:lang w:val="en-US" w:eastAsia="zh-CN" w:bidi="ar-SA"/>
        </w:rPr>
      </w:pPr>
      <w:r>
        <w:rPr>
          <w:rFonts w:hint="eastAsia" w:ascii="仿宋" w:hAnsi="仿宋" w:eastAsia="仿宋" w:cs="Times New Roman"/>
          <w:b/>
          <w:bCs/>
          <w:color w:val="auto"/>
          <w:kern w:val="2"/>
          <w:sz w:val="36"/>
          <w:szCs w:val="36"/>
          <w:lang w:val="en-US" w:eastAsia="zh-CN" w:bidi="ar-SA"/>
        </w:rPr>
        <w:t xml:space="preserve">        </w:t>
      </w:r>
    </w:p>
    <w:p w14:paraId="77ACE5C1">
      <w:pPr>
        <w:pStyle w:val="29"/>
        <w:shd w:val="clear" w:color="auto" w:fill="FFFFFF"/>
        <w:spacing w:before="0" w:beforeAutospacing="0" w:after="0" w:afterAutospacing="0" w:line="285" w:lineRule="atLeast"/>
        <w:ind w:left="0" w:leftChars="0" w:firstLine="0" w:firstLineChars="0"/>
        <w:jc w:val="center"/>
        <w:outlineLvl w:val="9"/>
        <w:rPr>
          <w:rFonts w:hint="eastAsia" w:ascii="仿宋" w:hAnsi="仿宋" w:eastAsia="仿宋" w:cs="Times New Roman"/>
          <w:b/>
          <w:bCs/>
          <w:color w:val="auto"/>
          <w:kern w:val="2"/>
          <w:sz w:val="36"/>
          <w:szCs w:val="36"/>
          <w:lang w:val="en-US" w:eastAsia="zh-CN" w:bidi="ar-SA"/>
        </w:rPr>
      </w:pPr>
      <w:r>
        <w:rPr>
          <w:rFonts w:hint="eastAsia" w:ascii="仿宋" w:hAnsi="仿宋" w:eastAsia="仿宋" w:cs="Times New Roman"/>
          <w:b/>
          <w:bCs/>
          <w:color w:val="auto"/>
          <w:kern w:val="2"/>
          <w:sz w:val="36"/>
          <w:szCs w:val="36"/>
          <w:lang w:val="en-US" w:eastAsia="zh-CN" w:bidi="ar-SA"/>
        </w:rPr>
        <w:t>医疗设备、耗材廉洁购销协议</w:t>
      </w:r>
    </w:p>
    <w:p w14:paraId="768CAF2C">
      <w:pPr>
        <w:pStyle w:val="29"/>
        <w:shd w:val="clear" w:color="auto" w:fill="FFFFFF"/>
        <w:spacing w:before="0" w:beforeAutospacing="0" w:after="0" w:afterAutospacing="0" w:line="285" w:lineRule="atLeast"/>
        <w:ind w:firstLine="390"/>
        <w:rPr>
          <w:rFonts w:hint="eastAsia" w:ascii="仿宋" w:hAnsi="仿宋" w:eastAsia="仿宋" w:cs="Helvetica"/>
          <w:color w:val="333333"/>
        </w:rPr>
      </w:pPr>
    </w:p>
    <w:p w14:paraId="59644332">
      <w:pPr>
        <w:pStyle w:val="29"/>
        <w:shd w:val="clear" w:color="auto" w:fill="FFFFFF"/>
        <w:spacing w:before="0" w:beforeAutospacing="0" w:after="0" w:afterAutospacing="0" w:line="285" w:lineRule="atLeast"/>
        <w:ind w:firstLine="390"/>
        <w:rPr>
          <w:rFonts w:hint="eastAsia" w:ascii="仿宋" w:hAnsi="仿宋" w:eastAsia="仿宋" w:cs="仿宋"/>
          <w:b/>
          <w:color w:val="auto"/>
          <w:sz w:val="24"/>
          <w:szCs w:val="24"/>
        </w:rPr>
      </w:pPr>
      <w:r>
        <w:rPr>
          <w:rFonts w:hint="eastAsia" w:ascii="仿宋" w:hAnsi="仿宋" w:eastAsia="仿宋" w:cs="仿宋"/>
          <w:b/>
          <w:color w:val="333333"/>
          <w:sz w:val="24"/>
          <w:szCs w:val="24"/>
        </w:rPr>
        <w:t>甲方 (医疗</w:t>
      </w:r>
      <w:r>
        <w:rPr>
          <w:rFonts w:hint="eastAsia" w:ascii="仿宋" w:hAnsi="仿宋" w:eastAsia="仿宋" w:cs="仿宋"/>
          <w:b/>
          <w:color w:val="auto"/>
          <w:sz w:val="24"/>
          <w:szCs w:val="24"/>
        </w:rPr>
        <w:t>卫生机构):  富顺县中医医院</w:t>
      </w:r>
    </w:p>
    <w:p w14:paraId="5DB68BDA">
      <w:pPr>
        <w:pStyle w:val="29"/>
        <w:shd w:val="clear" w:color="auto" w:fill="FFFFFF"/>
        <w:spacing w:before="0" w:beforeAutospacing="0" w:after="0" w:afterAutospacing="0" w:line="285" w:lineRule="atLeast"/>
        <w:ind w:firstLine="390"/>
        <w:rPr>
          <w:rFonts w:hint="eastAsia" w:ascii="仿宋" w:hAnsi="仿宋" w:eastAsia="仿宋" w:cs="仿宋"/>
          <w:b/>
          <w:color w:val="auto"/>
          <w:sz w:val="24"/>
          <w:szCs w:val="24"/>
        </w:rPr>
      </w:pPr>
    </w:p>
    <w:p w14:paraId="050519A5">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b/>
          <w:color w:val="auto"/>
          <w:sz w:val="24"/>
          <w:szCs w:val="24"/>
        </w:rPr>
        <w:t>乙方 (耗材生产经营企业及其代理人)</w:t>
      </w:r>
      <w:r>
        <w:rPr>
          <w:rFonts w:hint="eastAsia" w:ascii="仿宋" w:hAnsi="仿宋" w:eastAsia="仿宋" w:cs="仿宋"/>
          <w:color w:val="auto"/>
          <w:sz w:val="24"/>
          <w:szCs w:val="24"/>
        </w:rPr>
        <w:t xml:space="preserve">: </w:t>
      </w:r>
    </w:p>
    <w:p w14:paraId="679887C8">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p>
    <w:p w14:paraId="51339D66">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 xml:space="preserve"> 为进一步加强医疗卫生行风建设，规范医疗卫生机构器械购销行为,有效防范商业贿赂行为,营造公平交易、诚实守信的购销环境, 经甲、乙双方协商,同意签订本合同,并共同遵守:</w:t>
      </w:r>
    </w:p>
    <w:p w14:paraId="55108520">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 一、甲乙双方按照《</w:t>
      </w:r>
      <w:r>
        <w:rPr>
          <w:rFonts w:hint="eastAsia" w:ascii="仿宋" w:hAnsi="仿宋" w:eastAsia="仿宋" w:cs="仿宋"/>
          <w:color w:val="auto"/>
          <w:sz w:val="24"/>
          <w:szCs w:val="24"/>
          <w:lang w:val="en-US" w:eastAsia="zh-CN"/>
        </w:rPr>
        <w:t>民法典</w:t>
      </w:r>
      <w:r>
        <w:rPr>
          <w:rFonts w:hint="eastAsia" w:ascii="仿宋" w:hAnsi="仿宋" w:eastAsia="仿宋" w:cs="仿宋"/>
          <w:color w:val="auto"/>
          <w:sz w:val="24"/>
          <w:szCs w:val="24"/>
        </w:rPr>
        <w:t>》及器械产品购销合同约定购销药品、医用设备、医用耗材等医药产品。</w:t>
      </w:r>
    </w:p>
    <w:p w14:paraId="1FD59134">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 二、甲方应当严格执行器械产品购销合同验收、入库制度,对采购器械产品及发票进行查验,不得违反有关规定合同外采购、违价采购或从非规定渠道采购。 </w:t>
      </w:r>
    </w:p>
    <w:p w14:paraId="3BFF8DF4">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802E943">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 四、严禁甲方工作人员利用任何途径和方式 ,为乙方统计医师个人及临床科室有关器械产品用量信息,或为乙方统计提供便利。</w:t>
      </w:r>
    </w:p>
    <w:p w14:paraId="2EBFBBAD">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五、 乙方不得以回扣、宴请等方式影响甲方工作人员采购或使用器械产品的选择权,不得在学术活动中提供旅游、超标准支付食宿费。</w:t>
      </w:r>
    </w:p>
    <w:p w14:paraId="51797AED">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六、 乙方指定</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作为销售代表洽谈业务，销售代表必须在工作时间到甲方指定地点联系商谈，不得到住院部、门诊部、医技科室等推销医药产品,不得借故到甲方相关领导、 部门负责人及相关工作人员家中访谈并提供任何好处费。 </w:t>
      </w:r>
    </w:p>
    <w:p w14:paraId="5B77189D">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七、 乙方如违反本合同 ,一经发现,甲方有权终止购销合同,并向有关卫生计生行政部门报告，如乙方被列入商业贿赂不良记录,则严格按照《国家卫生计生委关于建立医药购销领域商业贿赂不良记录 的规定》(国卫法制发[2013]50 号)相关规定处理.</w:t>
      </w:r>
    </w:p>
    <w:p w14:paraId="034FB372">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八、本合同作为器械产品购销合同的重要组成部份，与购销合同一并执行,具有同等的法律效力。</w:t>
      </w:r>
    </w:p>
    <w:p w14:paraId="7B6849CE">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 xml:space="preserve"> 九、 本合同一式三份,甲、乙双方各执一份,甲方纪检监察部门 (基层医疗卫生机构上报上级卫生计生行政部门)执一份,并从签订日期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月至</w:t>
      </w:r>
      <w:r>
        <w:rPr>
          <w:rFonts w:hint="eastAsia" w:ascii="仿宋" w:hAnsi="仿宋" w:eastAsia="仿宋" w:cs="仿宋"/>
          <w:color w:val="auto"/>
          <w:sz w:val="24"/>
          <w:szCs w:val="24"/>
          <w:lang w:eastAsia="zh-CN"/>
        </w:rPr>
        <w:t>合同结束</w:t>
      </w:r>
      <w:r>
        <w:rPr>
          <w:rFonts w:hint="eastAsia" w:ascii="仿宋" w:hAnsi="仿宋" w:eastAsia="仿宋" w:cs="仿宋"/>
          <w:color w:val="auto"/>
          <w:sz w:val="24"/>
          <w:szCs w:val="24"/>
        </w:rPr>
        <w:t>。</w:t>
      </w:r>
    </w:p>
    <w:p w14:paraId="718E0507">
      <w:pPr>
        <w:pStyle w:val="29"/>
        <w:shd w:val="clear" w:color="auto" w:fill="FFFFFF"/>
        <w:spacing w:before="0" w:beforeAutospacing="0" w:after="0" w:afterAutospacing="0" w:line="285" w:lineRule="atLeast"/>
        <w:rPr>
          <w:rFonts w:hint="eastAsia" w:ascii="仿宋" w:hAnsi="仿宋" w:eastAsia="仿宋" w:cs="仿宋"/>
          <w:color w:val="auto"/>
          <w:sz w:val="24"/>
          <w:szCs w:val="24"/>
        </w:rPr>
      </w:pPr>
    </w:p>
    <w:p w14:paraId="1496F136">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甲方(盖章):                            乙方(盖章):</w:t>
      </w:r>
    </w:p>
    <w:p w14:paraId="565E8867">
      <w:pPr>
        <w:pStyle w:val="29"/>
        <w:shd w:val="clear" w:color="auto" w:fill="FFFFFF"/>
        <w:spacing w:before="0" w:beforeAutospacing="0" w:after="0" w:afterAutospacing="0" w:line="285" w:lineRule="atLeast"/>
        <w:rPr>
          <w:rFonts w:hint="eastAsia" w:ascii="仿宋" w:hAnsi="仿宋" w:eastAsia="仿宋" w:cs="仿宋"/>
          <w:color w:val="auto"/>
          <w:sz w:val="24"/>
          <w:szCs w:val="24"/>
        </w:rPr>
      </w:pPr>
    </w:p>
    <w:p w14:paraId="3070E271">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法定代表人(负责人):                    法定代表人(负责人):</w:t>
      </w:r>
    </w:p>
    <w:p w14:paraId="1065B77B">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p>
    <w:p w14:paraId="27CBAD1A">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 xml:space="preserve">经办人签名:                            经办人签名:                   </w:t>
      </w:r>
    </w:p>
    <w:p w14:paraId="4B80E369">
      <w:pPr>
        <w:pStyle w:val="29"/>
        <w:shd w:val="clear" w:color="auto" w:fill="FFFFFF"/>
        <w:spacing w:before="0" w:beforeAutospacing="0" w:after="0" w:afterAutospacing="0" w:line="285" w:lineRule="atLeast"/>
        <w:rPr>
          <w:rFonts w:hint="eastAsia" w:ascii="仿宋" w:hAnsi="仿宋" w:eastAsia="仿宋" w:cs="仿宋"/>
          <w:color w:val="333333"/>
          <w:sz w:val="24"/>
          <w:szCs w:val="24"/>
        </w:rPr>
      </w:pPr>
    </w:p>
    <w:p w14:paraId="696254D6">
      <w:pPr>
        <w:ind w:left="0" w:leftChars="0" w:firstLine="811" w:firstLineChars="338"/>
        <w:rPr>
          <w:rFonts w:hint="eastAsia" w:ascii="仿宋" w:hAnsi="仿宋" w:eastAsia="仿宋" w:cs="仿宋"/>
          <w:sz w:val="24"/>
          <w:szCs w:val="24"/>
          <w:lang w:val="en-US" w:eastAsia="zh-CN"/>
        </w:rPr>
      </w:pPr>
      <w:r>
        <w:rPr>
          <w:rFonts w:hint="eastAsia" w:ascii="仿宋" w:hAnsi="仿宋" w:eastAsia="仿宋" w:cs="仿宋"/>
          <w:color w:val="333333"/>
          <w:sz w:val="24"/>
          <w:szCs w:val="24"/>
        </w:rPr>
        <w:t>年     月     日                        年     月     日</w:t>
      </w:r>
    </w:p>
    <w:sectPr>
      <w:footerReference r:id="rId16" w:type="default"/>
      <w:pgSz w:w="11906" w:h="16838"/>
      <w:pgMar w:top="1417" w:right="1134" w:bottom="1417" w:left="1134"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ms Rmn">
    <w:altName w:val="Times New Roman"/>
    <w:panose1 w:val="02020603040505020304"/>
    <w:charset w:val="00"/>
    <w:family w:val="roman"/>
    <w:pitch w:val="default"/>
    <w:sig w:usb0="00000000" w:usb1="00000000" w:usb2="00000000" w:usb3="00000000" w:csb0="00000001" w:csb1="00000000"/>
  </w:font>
  <w:font w:name="Eʩ">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E8170">
    <w:pPr>
      <w:pStyle w:val="18"/>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C53D4">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1C53D4">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5344">
    <w:pPr>
      <w:pStyle w:val="18"/>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5B1DB">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55B1DB">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FD827">
    <w:pPr>
      <w:pStyle w:val="2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EF4AC">
                          <w:pPr>
                            <w:pStyle w:val="2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2EF4AC">
                    <w:pPr>
                      <w:pStyle w:val="2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8FC9">
    <w:pPr>
      <w:pStyle w:val="22"/>
      <w:jc w:val="center"/>
      <w:rPr>
        <w:rFonts w:ascii="宋体" w:hAnsi="宋体"/>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03744">
                          <w:pPr>
                            <w:pStyle w:val="2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B03744">
                    <w:pPr>
                      <w:pStyle w:val="22"/>
                    </w:pPr>
                    <w:r>
                      <w:fldChar w:fldCharType="begin"/>
                    </w:r>
                    <w:r>
                      <w:instrText xml:space="preserve"> PAGE  \* MERGEFORMAT </w:instrText>
                    </w:r>
                    <w:r>
                      <w:fldChar w:fldCharType="separate"/>
                    </w:r>
                    <w:r>
                      <w:t>19</w:t>
                    </w:r>
                    <w:r>
                      <w:fldChar w:fldCharType="end"/>
                    </w:r>
                  </w:p>
                </w:txbxContent>
              </v:textbox>
            </v:shape>
          </w:pict>
        </mc:Fallback>
      </mc:AlternateContent>
    </w:r>
  </w:p>
  <w:p w14:paraId="29EDA5B3">
    <w:pPr>
      <w:pStyle w:val="22"/>
      <w:jc w:val="center"/>
      <w:rPr>
        <w:rFonts w:ascii="宋体" w:hAnsi="宋体"/>
        <w:sz w:val="32"/>
        <w:szCs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B996">
    <w:pPr>
      <w:pStyle w:val="22"/>
      <w:jc w:val="center"/>
      <w:rPr>
        <w:rFonts w:ascii="宋体" w:hAnsi="宋体"/>
        <w:sz w:val="32"/>
        <w:szCs w:val="32"/>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3D380">
                          <w:pPr>
                            <w:pStyle w:val="2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A3D380">
                    <w:pPr>
                      <w:pStyle w:val="22"/>
                    </w:pPr>
                    <w:r>
                      <w:fldChar w:fldCharType="begin"/>
                    </w:r>
                    <w:r>
                      <w:instrText xml:space="preserve"> PAGE  \* MERGEFORMAT </w:instrText>
                    </w:r>
                    <w:r>
                      <w:fldChar w:fldCharType="separate"/>
                    </w:r>
                    <w:r>
                      <w:t>21</w:t>
                    </w:r>
                    <w:r>
                      <w:fldChar w:fldCharType="end"/>
                    </w:r>
                  </w:p>
                </w:txbxContent>
              </v:textbox>
            </v:shape>
          </w:pict>
        </mc:Fallback>
      </mc:AlternateContent>
    </w:r>
  </w:p>
  <w:p w14:paraId="0A86D0E7">
    <w:pPr>
      <w:pStyle w:val="22"/>
      <w:jc w:val="center"/>
      <w:rPr>
        <w:rFonts w:ascii="宋体" w:hAnsi="宋体"/>
        <w:sz w:val="32"/>
        <w:szCs w:val="3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1BA1C">
    <w:pPr>
      <w:pStyle w:val="22"/>
      <w:jc w:val="center"/>
      <w:rPr>
        <w:rFonts w:ascii="宋体" w:hAnsi="宋体"/>
        <w:sz w:val="32"/>
        <w:szCs w:val="32"/>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FF335">
                          <w:pPr>
                            <w:pStyle w:val="2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79FF335">
                    <w:pPr>
                      <w:pStyle w:val="2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5587E">
    <w:pPr>
      <w:pStyle w:val="18"/>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9E8B1">
                          <w:pPr>
                            <w:pStyle w:val="2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9E8B1">
                    <w:pPr>
                      <w:pStyle w:val="2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A70A">
    <w:pPr>
      <w:pStyle w:val="22"/>
      <w:jc w:val="center"/>
      <w:rPr>
        <w:rFonts w:ascii="宋体" w:hAnsi="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01977">
                          <w:pPr>
                            <w:pStyle w:val="2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901977">
                    <w:pPr>
                      <w:pStyle w:val="2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5D16">
    <w:pPr>
      <w:pStyle w:val="19"/>
      <w:tabs>
        <w:tab w:val="left" w:pos="11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189E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DE2C">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EA6A1">
    <w:pPr>
      <w:pStyle w:val="19"/>
    </w:pPr>
    <w:r>
      <w:pict>
        <v:shape id="PowerPlusWaterMarkObject29847924" o:spid="_x0000_s2052" o:spt="136" type="#_x0000_t136" style="position:absolute;left:0pt;height:45pt;width:540.3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融汇项目管理股份有限公司" style="font-family:楷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CF480"/>
    <w:multiLevelType w:val="singleLevel"/>
    <w:tmpl w:val="817CF480"/>
    <w:lvl w:ilvl="0" w:tentative="0">
      <w:start w:val="1"/>
      <w:numFmt w:val="decimal"/>
      <w:suff w:val="nothing"/>
      <w:lvlText w:val="%1、"/>
      <w:lvlJc w:val="left"/>
      <w:pPr>
        <w:ind w:left="0" w:firstLine="420"/>
      </w:pPr>
      <w:rPr>
        <w:rFonts w:hint="default"/>
      </w:rPr>
    </w:lvl>
  </w:abstractNum>
  <w:abstractNum w:abstractNumId="1">
    <w:nsid w:val="F4A60F4E"/>
    <w:multiLevelType w:val="singleLevel"/>
    <w:tmpl w:val="F4A60F4E"/>
    <w:lvl w:ilvl="0" w:tentative="0">
      <w:start w:val="2"/>
      <w:numFmt w:val="chineseCounting"/>
      <w:suff w:val="nothing"/>
      <w:lvlText w:val="%1、"/>
      <w:lvlJc w:val="left"/>
      <w:rPr>
        <w:rFonts w:hint="eastAsia"/>
      </w:rPr>
    </w:lvl>
  </w:abstractNum>
  <w:abstractNum w:abstractNumId="2">
    <w:nsid w:val="0BE56172"/>
    <w:multiLevelType w:val="singleLevel"/>
    <w:tmpl w:val="0BE56172"/>
    <w:lvl w:ilvl="0" w:tentative="0">
      <w:start w:val="2"/>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42C196D"/>
    <w:multiLevelType w:val="singleLevel"/>
    <w:tmpl w:val="542C196D"/>
    <w:lvl w:ilvl="0" w:tentative="0">
      <w:start w:val="2"/>
      <w:numFmt w:val="decimal"/>
      <w:suff w:val="nothing"/>
      <w:lvlText w:val="（%1）"/>
      <w:lvlJc w:val="left"/>
    </w:lvl>
  </w:abstractNum>
  <w:abstractNum w:abstractNumId="5">
    <w:nsid w:val="6329159B"/>
    <w:multiLevelType w:val="singleLevel"/>
    <w:tmpl w:val="6329159B"/>
    <w:lvl w:ilvl="0" w:tentative="0">
      <w:start w:val="2"/>
      <w:numFmt w:val="decimal"/>
      <w:suff w:val="space"/>
      <w:lvlText w:val="%1."/>
      <w:lvlJc w:val="left"/>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evenAndOddHeaders w:val="1"/>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NTQyOTM3MzFhNGE2ZmJjOTYyNjJjMzU1MzMxNTYifQ=="/>
  </w:docVars>
  <w:rsids>
    <w:rsidRoot w:val="007A683D"/>
    <w:rsid w:val="00007AD8"/>
    <w:rsid w:val="00012A56"/>
    <w:rsid w:val="00017150"/>
    <w:rsid w:val="00021B1D"/>
    <w:rsid w:val="00021C4C"/>
    <w:rsid w:val="00022E18"/>
    <w:rsid w:val="00024C80"/>
    <w:rsid w:val="00026152"/>
    <w:rsid w:val="00031B04"/>
    <w:rsid w:val="00036751"/>
    <w:rsid w:val="00036EEF"/>
    <w:rsid w:val="00045C4B"/>
    <w:rsid w:val="00062AA7"/>
    <w:rsid w:val="00063307"/>
    <w:rsid w:val="00064C52"/>
    <w:rsid w:val="000705EB"/>
    <w:rsid w:val="0007204F"/>
    <w:rsid w:val="000758D2"/>
    <w:rsid w:val="00075C5E"/>
    <w:rsid w:val="000760E2"/>
    <w:rsid w:val="00081855"/>
    <w:rsid w:val="0008318E"/>
    <w:rsid w:val="00085707"/>
    <w:rsid w:val="000862E6"/>
    <w:rsid w:val="00086EBF"/>
    <w:rsid w:val="00090B42"/>
    <w:rsid w:val="000912B1"/>
    <w:rsid w:val="00091BAB"/>
    <w:rsid w:val="00093327"/>
    <w:rsid w:val="00095107"/>
    <w:rsid w:val="000965E1"/>
    <w:rsid w:val="000A1509"/>
    <w:rsid w:val="000A246A"/>
    <w:rsid w:val="000A2A8E"/>
    <w:rsid w:val="000A3DA2"/>
    <w:rsid w:val="000A70F2"/>
    <w:rsid w:val="000B06F1"/>
    <w:rsid w:val="000B4220"/>
    <w:rsid w:val="000C297C"/>
    <w:rsid w:val="000C6FE5"/>
    <w:rsid w:val="000D22E0"/>
    <w:rsid w:val="000D717B"/>
    <w:rsid w:val="000E0386"/>
    <w:rsid w:val="000E45B0"/>
    <w:rsid w:val="000F2AC0"/>
    <w:rsid w:val="000F5D44"/>
    <w:rsid w:val="000F7505"/>
    <w:rsid w:val="00105C23"/>
    <w:rsid w:val="001068FD"/>
    <w:rsid w:val="00114138"/>
    <w:rsid w:val="001157EF"/>
    <w:rsid w:val="001169EC"/>
    <w:rsid w:val="001300AD"/>
    <w:rsid w:val="00131347"/>
    <w:rsid w:val="001324D0"/>
    <w:rsid w:val="0014031B"/>
    <w:rsid w:val="001406AF"/>
    <w:rsid w:val="001433C3"/>
    <w:rsid w:val="001542E8"/>
    <w:rsid w:val="001635E5"/>
    <w:rsid w:val="0017673A"/>
    <w:rsid w:val="00177C67"/>
    <w:rsid w:val="00181D0E"/>
    <w:rsid w:val="0019056C"/>
    <w:rsid w:val="00190666"/>
    <w:rsid w:val="00190F28"/>
    <w:rsid w:val="0019289D"/>
    <w:rsid w:val="00194D30"/>
    <w:rsid w:val="00194FCB"/>
    <w:rsid w:val="00197444"/>
    <w:rsid w:val="001A34F3"/>
    <w:rsid w:val="001A6131"/>
    <w:rsid w:val="001B171B"/>
    <w:rsid w:val="001B1735"/>
    <w:rsid w:val="001B3EC5"/>
    <w:rsid w:val="001C03A0"/>
    <w:rsid w:val="001C6ECA"/>
    <w:rsid w:val="001D4748"/>
    <w:rsid w:val="001D4C75"/>
    <w:rsid w:val="001E69D8"/>
    <w:rsid w:val="001E7DDD"/>
    <w:rsid w:val="001F7393"/>
    <w:rsid w:val="0020039F"/>
    <w:rsid w:val="002015BB"/>
    <w:rsid w:val="00202A19"/>
    <w:rsid w:val="00203A74"/>
    <w:rsid w:val="00210927"/>
    <w:rsid w:val="00211A8E"/>
    <w:rsid w:val="002120E1"/>
    <w:rsid w:val="002129B6"/>
    <w:rsid w:val="00212B0D"/>
    <w:rsid w:val="0021461E"/>
    <w:rsid w:val="00216109"/>
    <w:rsid w:val="0022001E"/>
    <w:rsid w:val="00227396"/>
    <w:rsid w:val="00233604"/>
    <w:rsid w:val="002345F1"/>
    <w:rsid w:val="0024580E"/>
    <w:rsid w:val="0025049D"/>
    <w:rsid w:val="002521B9"/>
    <w:rsid w:val="0026326B"/>
    <w:rsid w:val="002636ED"/>
    <w:rsid w:val="00266675"/>
    <w:rsid w:val="002703ED"/>
    <w:rsid w:val="00271C8C"/>
    <w:rsid w:val="00272A8F"/>
    <w:rsid w:val="0027797C"/>
    <w:rsid w:val="0028498F"/>
    <w:rsid w:val="00287A32"/>
    <w:rsid w:val="002967CE"/>
    <w:rsid w:val="00297E79"/>
    <w:rsid w:val="002A1713"/>
    <w:rsid w:val="002A3283"/>
    <w:rsid w:val="002B0731"/>
    <w:rsid w:val="002B1E39"/>
    <w:rsid w:val="002B2897"/>
    <w:rsid w:val="002B3F90"/>
    <w:rsid w:val="002B734E"/>
    <w:rsid w:val="002D042C"/>
    <w:rsid w:val="002E328B"/>
    <w:rsid w:val="002E4062"/>
    <w:rsid w:val="002F560B"/>
    <w:rsid w:val="00306B0F"/>
    <w:rsid w:val="003070DB"/>
    <w:rsid w:val="00307829"/>
    <w:rsid w:val="00313703"/>
    <w:rsid w:val="00314A71"/>
    <w:rsid w:val="00315847"/>
    <w:rsid w:val="00316EB4"/>
    <w:rsid w:val="003216FA"/>
    <w:rsid w:val="003226A5"/>
    <w:rsid w:val="003300C6"/>
    <w:rsid w:val="003300EE"/>
    <w:rsid w:val="00330FC4"/>
    <w:rsid w:val="003354C8"/>
    <w:rsid w:val="00336716"/>
    <w:rsid w:val="00336DCD"/>
    <w:rsid w:val="003429E1"/>
    <w:rsid w:val="00346B52"/>
    <w:rsid w:val="00347D55"/>
    <w:rsid w:val="003579AD"/>
    <w:rsid w:val="00363398"/>
    <w:rsid w:val="00364018"/>
    <w:rsid w:val="0036414E"/>
    <w:rsid w:val="003651A1"/>
    <w:rsid w:val="00367B8E"/>
    <w:rsid w:val="00370B3A"/>
    <w:rsid w:val="00371874"/>
    <w:rsid w:val="003738E0"/>
    <w:rsid w:val="0038377D"/>
    <w:rsid w:val="00390C82"/>
    <w:rsid w:val="00394D48"/>
    <w:rsid w:val="00397CB0"/>
    <w:rsid w:val="003A32A6"/>
    <w:rsid w:val="003A6A7E"/>
    <w:rsid w:val="003B6EF5"/>
    <w:rsid w:val="003C6641"/>
    <w:rsid w:val="003D034C"/>
    <w:rsid w:val="003D09DE"/>
    <w:rsid w:val="003D2186"/>
    <w:rsid w:val="003D516F"/>
    <w:rsid w:val="003D580A"/>
    <w:rsid w:val="003E15DF"/>
    <w:rsid w:val="003E1ABC"/>
    <w:rsid w:val="003E2C00"/>
    <w:rsid w:val="003F5915"/>
    <w:rsid w:val="003F5949"/>
    <w:rsid w:val="00414E18"/>
    <w:rsid w:val="00415F60"/>
    <w:rsid w:val="004320FD"/>
    <w:rsid w:val="004332AE"/>
    <w:rsid w:val="0043390D"/>
    <w:rsid w:val="00434342"/>
    <w:rsid w:val="00437902"/>
    <w:rsid w:val="004445E7"/>
    <w:rsid w:val="00445E84"/>
    <w:rsid w:val="004476A3"/>
    <w:rsid w:val="00447BA7"/>
    <w:rsid w:val="00447FF1"/>
    <w:rsid w:val="00450051"/>
    <w:rsid w:val="0045177D"/>
    <w:rsid w:val="00455664"/>
    <w:rsid w:val="004557B0"/>
    <w:rsid w:val="00460537"/>
    <w:rsid w:val="0047278C"/>
    <w:rsid w:val="00477112"/>
    <w:rsid w:val="00482AB7"/>
    <w:rsid w:val="004836E9"/>
    <w:rsid w:val="00490A5C"/>
    <w:rsid w:val="00494396"/>
    <w:rsid w:val="004A30DB"/>
    <w:rsid w:val="004A4405"/>
    <w:rsid w:val="004B0037"/>
    <w:rsid w:val="004B30A1"/>
    <w:rsid w:val="004B4A5A"/>
    <w:rsid w:val="004C286F"/>
    <w:rsid w:val="004C42FC"/>
    <w:rsid w:val="004D1906"/>
    <w:rsid w:val="004D491F"/>
    <w:rsid w:val="004E26F0"/>
    <w:rsid w:val="004E4B68"/>
    <w:rsid w:val="004E4E93"/>
    <w:rsid w:val="004E5DA0"/>
    <w:rsid w:val="004E70D5"/>
    <w:rsid w:val="004E7D88"/>
    <w:rsid w:val="004F136E"/>
    <w:rsid w:val="004F5CFF"/>
    <w:rsid w:val="004F63AD"/>
    <w:rsid w:val="0050268B"/>
    <w:rsid w:val="00503DB5"/>
    <w:rsid w:val="00505466"/>
    <w:rsid w:val="00506C10"/>
    <w:rsid w:val="00507FA7"/>
    <w:rsid w:val="00515D1A"/>
    <w:rsid w:val="00516CD7"/>
    <w:rsid w:val="00517349"/>
    <w:rsid w:val="005212C2"/>
    <w:rsid w:val="00522C34"/>
    <w:rsid w:val="00532CAA"/>
    <w:rsid w:val="00535A0F"/>
    <w:rsid w:val="00541B63"/>
    <w:rsid w:val="00542838"/>
    <w:rsid w:val="00543FF9"/>
    <w:rsid w:val="0054671A"/>
    <w:rsid w:val="00550AED"/>
    <w:rsid w:val="00551D4E"/>
    <w:rsid w:val="00553CAF"/>
    <w:rsid w:val="00556240"/>
    <w:rsid w:val="00561BDA"/>
    <w:rsid w:val="00562C92"/>
    <w:rsid w:val="005717CE"/>
    <w:rsid w:val="00572826"/>
    <w:rsid w:val="00575FAE"/>
    <w:rsid w:val="00576A9F"/>
    <w:rsid w:val="00584A71"/>
    <w:rsid w:val="00586BFF"/>
    <w:rsid w:val="0059308F"/>
    <w:rsid w:val="005962C4"/>
    <w:rsid w:val="005A0D9D"/>
    <w:rsid w:val="005A3B30"/>
    <w:rsid w:val="005A5D20"/>
    <w:rsid w:val="005B2A38"/>
    <w:rsid w:val="005C3468"/>
    <w:rsid w:val="005C5F85"/>
    <w:rsid w:val="005C751B"/>
    <w:rsid w:val="005C7DD5"/>
    <w:rsid w:val="005D12A5"/>
    <w:rsid w:val="005D2D57"/>
    <w:rsid w:val="005D3A0A"/>
    <w:rsid w:val="005D7308"/>
    <w:rsid w:val="005E112B"/>
    <w:rsid w:val="005E3F52"/>
    <w:rsid w:val="005E6359"/>
    <w:rsid w:val="005F1F0E"/>
    <w:rsid w:val="005F36DC"/>
    <w:rsid w:val="006004BC"/>
    <w:rsid w:val="00612AFF"/>
    <w:rsid w:val="00613C32"/>
    <w:rsid w:val="00614A60"/>
    <w:rsid w:val="00614DC0"/>
    <w:rsid w:val="00621550"/>
    <w:rsid w:val="00623D31"/>
    <w:rsid w:val="006243C6"/>
    <w:rsid w:val="00626E40"/>
    <w:rsid w:val="006310EB"/>
    <w:rsid w:val="00632B8B"/>
    <w:rsid w:val="00634438"/>
    <w:rsid w:val="00634B10"/>
    <w:rsid w:val="006363E3"/>
    <w:rsid w:val="00636410"/>
    <w:rsid w:val="00640A83"/>
    <w:rsid w:val="006765FE"/>
    <w:rsid w:val="00680D58"/>
    <w:rsid w:val="0068412C"/>
    <w:rsid w:val="00685341"/>
    <w:rsid w:val="006853DD"/>
    <w:rsid w:val="00690CCA"/>
    <w:rsid w:val="00694597"/>
    <w:rsid w:val="00697C2D"/>
    <w:rsid w:val="006A2B6C"/>
    <w:rsid w:val="006A4F7D"/>
    <w:rsid w:val="006B1BDD"/>
    <w:rsid w:val="006B4813"/>
    <w:rsid w:val="006B6759"/>
    <w:rsid w:val="006B6A5F"/>
    <w:rsid w:val="006C2AA4"/>
    <w:rsid w:val="006C355C"/>
    <w:rsid w:val="006D01C5"/>
    <w:rsid w:val="006E2549"/>
    <w:rsid w:val="006E6822"/>
    <w:rsid w:val="006E6C64"/>
    <w:rsid w:val="006F1ACB"/>
    <w:rsid w:val="006F2FC8"/>
    <w:rsid w:val="006F62B3"/>
    <w:rsid w:val="006F6F3F"/>
    <w:rsid w:val="007014F1"/>
    <w:rsid w:val="00702FC0"/>
    <w:rsid w:val="00706260"/>
    <w:rsid w:val="0070720E"/>
    <w:rsid w:val="00707412"/>
    <w:rsid w:val="007133A9"/>
    <w:rsid w:val="007171DF"/>
    <w:rsid w:val="00721BDE"/>
    <w:rsid w:val="007237A3"/>
    <w:rsid w:val="007253BB"/>
    <w:rsid w:val="00727510"/>
    <w:rsid w:val="00731235"/>
    <w:rsid w:val="00732A54"/>
    <w:rsid w:val="00732B25"/>
    <w:rsid w:val="007343BC"/>
    <w:rsid w:val="00737C32"/>
    <w:rsid w:val="0075240E"/>
    <w:rsid w:val="0075243C"/>
    <w:rsid w:val="007538F8"/>
    <w:rsid w:val="00760C67"/>
    <w:rsid w:val="007616E7"/>
    <w:rsid w:val="007660CE"/>
    <w:rsid w:val="00767490"/>
    <w:rsid w:val="00771E82"/>
    <w:rsid w:val="00775E7A"/>
    <w:rsid w:val="00790551"/>
    <w:rsid w:val="00792FBE"/>
    <w:rsid w:val="007935F3"/>
    <w:rsid w:val="0079593C"/>
    <w:rsid w:val="007A18B5"/>
    <w:rsid w:val="007A683D"/>
    <w:rsid w:val="007A6B50"/>
    <w:rsid w:val="007A6B90"/>
    <w:rsid w:val="007B008A"/>
    <w:rsid w:val="007B6747"/>
    <w:rsid w:val="007C3D3B"/>
    <w:rsid w:val="007D1567"/>
    <w:rsid w:val="007D7C0B"/>
    <w:rsid w:val="007E2E12"/>
    <w:rsid w:val="007E61D1"/>
    <w:rsid w:val="007F2892"/>
    <w:rsid w:val="007F4B05"/>
    <w:rsid w:val="007F5172"/>
    <w:rsid w:val="00805B8F"/>
    <w:rsid w:val="00807ADB"/>
    <w:rsid w:val="008120D6"/>
    <w:rsid w:val="00813637"/>
    <w:rsid w:val="00814FCC"/>
    <w:rsid w:val="0081533B"/>
    <w:rsid w:val="00815A50"/>
    <w:rsid w:val="00817496"/>
    <w:rsid w:val="00817AAE"/>
    <w:rsid w:val="008244D1"/>
    <w:rsid w:val="00824A1E"/>
    <w:rsid w:val="00827C45"/>
    <w:rsid w:val="00827C4C"/>
    <w:rsid w:val="00827FA3"/>
    <w:rsid w:val="00830EB8"/>
    <w:rsid w:val="00831F9B"/>
    <w:rsid w:val="00835A23"/>
    <w:rsid w:val="00835F45"/>
    <w:rsid w:val="00840853"/>
    <w:rsid w:val="0084215B"/>
    <w:rsid w:val="00842B97"/>
    <w:rsid w:val="00852BD7"/>
    <w:rsid w:val="00855FB8"/>
    <w:rsid w:val="00863884"/>
    <w:rsid w:val="00863FD7"/>
    <w:rsid w:val="00876DBD"/>
    <w:rsid w:val="0088235F"/>
    <w:rsid w:val="00884640"/>
    <w:rsid w:val="0088578D"/>
    <w:rsid w:val="00891C3F"/>
    <w:rsid w:val="0089237C"/>
    <w:rsid w:val="00893DAE"/>
    <w:rsid w:val="00895176"/>
    <w:rsid w:val="008971B7"/>
    <w:rsid w:val="008A2AF9"/>
    <w:rsid w:val="008A4381"/>
    <w:rsid w:val="008B1E46"/>
    <w:rsid w:val="008B43E9"/>
    <w:rsid w:val="008B5C9C"/>
    <w:rsid w:val="008B76DA"/>
    <w:rsid w:val="008C38C4"/>
    <w:rsid w:val="008C429D"/>
    <w:rsid w:val="008C53F6"/>
    <w:rsid w:val="008D5960"/>
    <w:rsid w:val="008D73E9"/>
    <w:rsid w:val="008D7AD6"/>
    <w:rsid w:val="008E489D"/>
    <w:rsid w:val="008E5771"/>
    <w:rsid w:val="008F1DDF"/>
    <w:rsid w:val="008F2830"/>
    <w:rsid w:val="008F7F81"/>
    <w:rsid w:val="009035AC"/>
    <w:rsid w:val="00904A04"/>
    <w:rsid w:val="009069BA"/>
    <w:rsid w:val="00906E67"/>
    <w:rsid w:val="00906EFC"/>
    <w:rsid w:val="00907E27"/>
    <w:rsid w:val="009117FF"/>
    <w:rsid w:val="009158A3"/>
    <w:rsid w:val="009164B3"/>
    <w:rsid w:val="009168D9"/>
    <w:rsid w:val="00916F97"/>
    <w:rsid w:val="009251C5"/>
    <w:rsid w:val="009257B9"/>
    <w:rsid w:val="0094114F"/>
    <w:rsid w:val="00941B36"/>
    <w:rsid w:val="00944128"/>
    <w:rsid w:val="00947BCD"/>
    <w:rsid w:val="00953456"/>
    <w:rsid w:val="00961F6E"/>
    <w:rsid w:val="00964C19"/>
    <w:rsid w:val="00965B2F"/>
    <w:rsid w:val="009662BC"/>
    <w:rsid w:val="009667DB"/>
    <w:rsid w:val="009676AA"/>
    <w:rsid w:val="0097044A"/>
    <w:rsid w:val="009730E1"/>
    <w:rsid w:val="00990D83"/>
    <w:rsid w:val="009916DD"/>
    <w:rsid w:val="00992DFA"/>
    <w:rsid w:val="0099546F"/>
    <w:rsid w:val="00996F31"/>
    <w:rsid w:val="009979FD"/>
    <w:rsid w:val="009B3F19"/>
    <w:rsid w:val="009B7BA3"/>
    <w:rsid w:val="009C613A"/>
    <w:rsid w:val="009D5489"/>
    <w:rsid w:val="009D60C2"/>
    <w:rsid w:val="009E66AF"/>
    <w:rsid w:val="009F0956"/>
    <w:rsid w:val="009F4AFF"/>
    <w:rsid w:val="009F72AD"/>
    <w:rsid w:val="00A01E5C"/>
    <w:rsid w:val="00A02ADE"/>
    <w:rsid w:val="00A0428C"/>
    <w:rsid w:val="00A12466"/>
    <w:rsid w:val="00A12EDC"/>
    <w:rsid w:val="00A20D61"/>
    <w:rsid w:val="00A214F2"/>
    <w:rsid w:val="00A23584"/>
    <w:rsid w:val="00A30A91"/>
    <w:rsid w:val="00A31688"/>
    <w:rsid w:val="00A341B4"/>
    <w:rsid w:val="00A41976"/>
    <w:rsid w:val="00A4315C"/>
    <w:rsid w:val="00A43E09"/>
    <w:rsid w:val="00A44B42"/>
    <w:rsid w:val="00A44C13"/>
    <w:rsid w:val="00A52BBA"/>
    <w:rsid w:val="00A55B4C"/>
    <w:rsid w:val="00A57FAB"/>
    <w:rsid w:val="00A61AC1"/>
    <w:rsid w:val="00A62E6B"/>
    <w:rsid w:val="00A63261"/>
    <w:rsid w:val="00A632E6"/>
    <w:rsid w:val="00A66FE3"/>
    <w:rsid w:val="00A709FD"/>
    <w:rsid w:val="00A73275"/>
    <w:rsid w:val="00A73AA3"/>
    <w:rsid w:val="00A73C7A"/>
    <w:rsid w:val="00A75066"/>
    <w:rsid w:val="00A77BAE"/>
    <w:rsid w:val="00A82D03"/>
    <w:rsid w:val="00A95415"/>
    <w:rsid w:val="00AA1C81"/>
    <w:rsid w:val="00AA3393"/>
    <w:rsid w:val="00AB0302"/>
    <w:rsid w:val="00AB40B8"/>
    <w:rsid w:val="00AB4A53"/>
    <w:rsid w:val="00AB7BF3"/>
    <w:rsid w:val="00AC3E85"/>
    <w:rsid w:val="00AC5321"/>
    <w:rsid w:val="00AD0386"/>
    <w:rsid w:val="00AD08EE"/>
    <w:rsid w:val="00AD0A60"/>
    <w:rsid w:val="00AD40EC"/>
    <w:rsid w:val="00AD76EC"/>
    <w:rsid w:val="00AD7EFA"/>
    <w:rsid w:val="00AE3136"/>
    <w:rsid w:val="00AE5163"/>
    <w:rsid w:val="00AE55DC"/>
    <w:rsid w:val="00AF220B"/>
    <w:rsid w:val="00AF2265"/>
    <w:rsid w:val="00AF5EB2"/>
    <w:rsid w:val="00B018FB"/>
    <w:rsid w:val="00B03C92"/>
    <w:rsid w:val="00B05E15"/>
    <w:rsid w:val="00B06111"/>
    <w:rsid w:val="00B122D1"/>
    <w:rsid w:val="00B1481A"/>
    <w:rsid w:val="00B2007F"/>
    <w:rsid w:val="00B2050E"/>
    <w:rsid w:val="00B238C8"/>
    <w:rsid w:val="00B243DE"/>
    <w:rsid w:val="00B253EC"/>
    <w:rsid w:val="00B27E55"/>
    <w:rsid w:val="00B50900"/>
    <w:rsid w:val="00B5278E"/>
    <w:rsid w:val="00B52A1D"/>
    <w:rsid w:val="00B54097"/>
    <w:rsid w:val="00B57B8A"/>
    <w:rsid w:val="00B66EC8"/>
    <w:rsid w:val="00B67AD7"/>
    <w:rsid w:val="00B80536"/>
    <w:rsid w:val="00B8457B"/>
    <w:rsid w:val="00B849AD"/>
    <w:rsid w:val="00B87940"/>
    <w:rsid w:val="00B919BB"/>
    <w:rsid w:val="00B9202C"/>
    <w:rsid w:val="00B95BF7"/>
    <w:rsid w:val="00B95CB7"/>
    <w:rsid w:val="00B97136"/>
    <w:rsid w:val="00BA1013"/>
    <w:rsid w:val="00BA3C31"/>
    <w:rsid w:val="00BA56EA"/>
    <w:rsid w:val="00BA5A1E"/>
    <w:rsid w:val="00BA6484"/>
    <w:rsid w:val="00BA65C9"/>
    <w:rsid w:val="00BA6D4C"/>
    <w:rsid w:val="00BA6F23"/>
    <w:rsid w:val="00BB3849"/>
    <w:rsid w:val="00BB5969"/>
    <w:rsid w:val="00BC1700"/>
    <w:rsid w:val="00BC2785"/>
    <w:rsid w:val="00BC5BF2"/>
    <w:rsid w:val="00BD577F"/>
    <w:rsid w:val="00BE71D3"/>
    <w:rsid w:val="00BF0229"/>
    <w:rsid w:val="00C01ECC"/>
    <w:rsid w:val="00C049EB"/>
    <w:rsid w:val="00C05CA7"/>
    <w:rsid w:val="00C06829"/>
    <w:rsid w:val="00C07469"/>
    <w:rsid w:val="00C100AD"/>
    <w:rsid w:val="00C16C1B"/>
    <w:rsid w:val="00C21D6F"/>
    <w:rsid w:val="00C251CE"/>
    <w:rsid w:val="00C26A7F"/>
    <w:rsid w:val="00C305BC"/>
    <w:rsid w:val="00C31518"/>
    <w:rsid w:val="00C351E4"/>
    <w:rsid w:val="00C35DF4"/>
    <w:rsid w:val="00C421B6"/>
    <w:rsid w:val="00C5022C"/>
    <w:rsid w:val="00C508C1"/>
    <w:rsid w:val="00C54028"/>
    <w:rsid w:val="00C54267"/>
    <w:rsid w:val="00C573F3"/>
    <w:rsid w:val="00C661DF"/>
    <w:rsid w:val="00C706A8"/>
    <w:rsid w:val="00C71858"/>
    <w:rsid w:val="00C72D09"/>
    <w:rsid w:val="00C82BF6"/>
    <w:rsid w:val="00C8585D"/>
    <w:rsid w:val="00C865EB"/>
    <w:rsid w:val="00CB1E84"/>
    <w:rsid w:val="00CB41D2"/>
    <w:rsid w:val="00CB48DC"/>
    <w:rsid w:val="00CB5F3D"/>
    <w:rsid w:val="00CC5F99"/>
    <w:rsid w:val="00CD23C8"/>
    <w:rsid w:val="00CD3645"/>
    <w:rsid w:val="00CD3D66"/>
    <w:rsid w:val="00CD4105"/>
    <w:rsid w:val="00CE4310"/>
    <w:rsid w:val="00CE4D93"/>
    <w:rsid w:val="00CF14CB"/>
    <w:rsid w:val="00CF1560"/>
    <w:rsid w:val="00CF27A1"/>
    <w:rsid w:val="00CF3CD2"/>
    <w:rsid w:val="00CF6340"/>
    <w:rsid w:val="00D000EC"/>
    <w:rsid w:val="00D01A9B"/>
    <w:rsid w:val="00D03641"/>
    <w:rsid w:val="00D05321"/>
    <w:rsid w:val="00D13549"/>
    <w:rsid w:val="00D2353A"/>
    <w:rsid w:val="00D255E0"/>
    <w:rsid w:val="00D316C7"/>
    <w:rsid w:val="00D3319D"/>
    <w:rsid w:val="00D35E79"/>
    <w:rsid w:val="00D42338"/>
    <w:rsid w:val="00D44067"/>
    <w:rsid w:val="00D4510E"/>
    <w:rsid w:val="00D453B3"/>
    <w:rsid w:val="00D457E7"/>
    <w:rsid w:val="00D51E8E"/>
    <w:rsid w:val="00D52173"/>
    <w:rsid w:val="00D53546"/>
    <w:rsid w:val="00D54975"/>
    <w:rsid w:val="00D575D4"/>
    <w:rsid w:val="00D67157"/>
    <w:rsid w:val="00D7091B"/>
    <w:rsid w:val="00D73B4C"/>
    <w:rsid w:val="00D7441E"/>
    <w:rsid w:val="00D75B9A"/>
    <w:rsid w:val="00D773C7"/>
    <w:rsid w:val="00D805D4"/>
    <w:rsid w:val="00D868C4"/>
    <w:rsid w:val="00D86C20"/>
    <w:rsid w:val="00D90F59"/>
    <w:rsid w:val="00D9692A"/>
    <w:rsid w:val="00DA1E5D"/>
    <w:rsid w:val="00DA4A29"/>
    <w:rsid w:val="00DA51BA"/>
    <w:rsid w:val="00DA6C14"/>
    <w:rsid w:val="00DB3650"/>
    <w:rsid w:val="00DB4800"/>
    <w:rsid w:val="00DB4C3D"/>
    <w:rsid w:val="00DC09C7"/>
    <w:rsid w:val="00DC103C"/>
    <w:rsid w:val="00DC1A76"/>
    <w:rsid w:val="00DC5352"/>
    <w:rsid w:val="00DD2747"/>
    <w:rsid w:val="00DD4C4F"/>
    <w:rsid w:val="00DD5BDA"/>
    <w:rsid w:val="00DD75F5"/>
    <w:rsid w:val="00DE25B3"/>
    <w:rsid w:val="00DE3B1C"/>
    <w:rsid w:val="00DE40E4"/>
    <w:rsid w:val="00DE44FF"/>
    <w:rsid w:val="00DE4D28"/>
    <w:rsid w:val="00E00F6A"/>
    <w:rsid w:val="00E01326"/>
    <w:rsid w:val="00E04E6B"/>
    <w:rsid w:val="00E14F06"/>
    <w:rsid w:val="00E15816"/>
    <w:rsid w:val="00E17761"/>
    <w:rsid w:val="00E310A1"/>
    <w:rsid w:val="00E36E25"/>
    <w:rsid w:val="00E416EA"/>
    <w:rsid w:val="00E43FD4"/>
    <w:rsid w:val="00E46283"/>
    <w:rsid w:val="00E47B16"/>
    <w:rsid w:val="00E47D3C"/>
    <w:rsid w:val="00E51D6C"/>
    <w:rsid w:val="00E51FCD"/>
    <w:rsid w:val="00E55CA7"/>
    <w:rsid w:val="00E55E19"/>
    <w:rsid w:val="00E62187"/>
    <w:rsid w:val="00E62188"/>
    <w:rsid w:val="00E64F68"/>
    <w:rsid w:val="00E716D6"/>
    <w:rsid w:val="00E71735"/>
    <w:rsid w:val="00E719D7"/>
    <w:rsid w:val="00E75498"/>
    <w:rsid w:val="00E75990"/>
    <w:rsid w:val="00E77958"/>
    <w:rsid w:val="00E81B9F"/>
    <w:rsid w:val="00E837A1"/>
    <w:rsid w:val="00E83889"/>
    <w:rsid w:val="00E83AF9"/>
    <w:rsid w:val="00E8533C"/>
    <w:rsid w:val="00E863AF"/>
    <w:rsid w:val="00E86ED2"/>
    <w:rsid w:val="00E90175"/>
    <w:rsid w:val="00E902A4"/>
    <w:rsid w:val="00E902A6"/>
    <w:rsid w:val="00E90C61"/>
    <w:rsid w:val="00E93711"/>
    <w:rsid w:val="00EA5DCA"/>
    <w:rsid w:val="00EB4382"/>
    <w:rsid w:val="00EB54DE"/>
    <w:rsid w:val="00EB6A49"/>
    <w:rsid w:val="00EC166C"/>
    <w:rsid w:val="00EC440D"/>
    <w:rsid w:val="00EC4AC3"/>
    <w:rsid w:val="00EC54B4"/>
    <w:rsid w:val="00ED1766"/>
    <w:rsid w:val="00ED46D0"/>
    <w:rsid w:val="00ED4D98"/>
    <w:rsid w:val="00ED606E"/>
    <w:rsid w:val="00ED661A"/>
    <w:rsid w:val="00EE504C"/>
    <w:rsid w:val="00F06180"/>
    <w:rsid w:val="00F148EA"/>
    <w:rsid w:val="00F17F08"/>
    <w:rsid w:val="00F241B8"/>
    <w:rsid w:val="00F24508"/>
    <w:rsid w:val="00F269E0"/>
    <w:rsid w:val="00F26FBC"/>
    <w:rsid w:val="00F308BA"/>
    <w:rsid w:val="00F30B09"/>
    <w:rsid w:val="00F32C53"/>
    <w:rsid w:val="00F42037"/>
    <w:rsid w:val="00F422CD"/>
    <w:rsid w:val="00F43258"/>
    <w:rsid w:val="00F4356E"/>
    <w:rsid w:val="00F45310"/>
    <w:rsid w:val="00F45DFE"/>
    <w:rsid w:val="00F53A08"/>
    <w:rsid w:val="00F6226E"/>
    <w:rsid w:val="00F63291"/>
    <w:rsid w:val="00F6393F"/>
    <w:rsid w:val="00F659B9"/>
    <w:rsid w:val="00F678CA"/>
    <w:rsid w:val="00F67E3B"/>
    <w:rsid w:val="00F75689"/>
    <w:rsid w:val="00F76BC7"/>
    <w:rsid w:val="00F81882"/>
    <w:rsid w:val="00F85D93"/>
    <w:rsid w:val="00F93F50"/>
    <w:rsid w:val="00F95AC4"/>
    <w:rsid w:val="00F95F0E"/>
    <w:rsid w:val="00FB0145"/>
    <w:rsid w:val="00FB6FDE"/>
    <w:rsid w:val="00FB7E82"/>
    <w:rsid w:val="00FC1AB5"/>
    <w:rsid w:val="00FC5AC5"/>
    <w:rsid w:val="00FC6E32"/>
    <w:rsid w:val="00FD14A7"/>
    <w:rsid w:val="00FD3833"/>
    <w:rsid w:val="00FE0947"/>
    <w:rsid w:val="00FE31E8"/>
    <w:rsid w:val="00FE5A31"/>
    <w:rsid w:val="00FE6AA7"/>
    <w:rsid w:val="00FF0BA8"/>
    <w:rsid w:val="00FF1086"/>
    <w:rsid w:val="00FF1FF8"/>
    <w:rsid w:val="00FF5DB0"/>
    <w:rsid w:val="00FF658A"/>
    <w:rsid w:val="00FF68C0"/>
    <w:rsid w:val="01263020"/>
    <w:rsid w:val="012E077B"/>
    <w:rsid w:val="016B3CA6"/>
    <w:rsid w:val="01850A42"/>
    <w:rsid w:val="018C596A"/>
    <w:rsid w:val="01B24387"/>
    <w:rsid w:val="01BE7323"/>
    <w:rsid w:val="01CD7511"/>
    <w:rsid w:val="02142DBF"/>
    <w:rsid w:val="022E6D4C"/>
    <w:rsid w:val="02317836"/>
    <w:rsid w:val="023F40ED"/>
    <w:rsid w:val="02430B2B"/>
    <w:rsid w:val="02794264"/>
    <w:rsid w:val="02E836CB"/>
    <w:rsid w:val="032B053F"/>
    <w:rsid w:val="03386882"/>
    <w:rsid w:val="0353376F"/>
    <w:rsid w:val="0358731A"/>
    <w:rsid w:val="038653A5"/>
    <w:rsid w:val="038A7599"/>
    <w:rsid w:val="039B1C23"/>
    <w:rsid w:val="03C93DE4"/>
    <w:rsid w:val="03CF276F"/>
    <w:rsid w:val="03E85601"/>
    <w:rsid w:val="03FE7515"/>
    <w:rsid w:val="040C0819"/>
    <w:rsid w:val="04104985"/>
    <w:rsid w:val="0463262C"/>
    <w:rsid w:val="04676ABE"/>
    <w:rsid w:val="04676D10"/>
    <w:rsid w:val="047D5273"/>
    <w:rsid w:val="04CD1926"/>
    <w:rsid w:val="04EF6EC1"/>
    <w:rsid w:val="04F76E8A"/>
    <w:rsid w:val="05052E25"/>
    <w:rsid w:val="05145F94"/>
    <w:rsid w:val="05362202"/>
    <w:rsid w:val="05AA4C8F"/>
    <w:rsid w:val="05DB50B2"/>
    <w:rsid w:val="05F10057"/>
    <w:rsid w:val="060D2F10"/>
    <w:rsid w:val="062126EF"/>
    <w:rsid w:val="064108EF"/>
    <w:rsid w:val="06481787"/>
    <w:rsid w:val="0662250D"/>
    <w:rsid w:val="06650A9D"/>
    <w:rsid w:val="069756C9"/>
    <w:rsid w:val="06AB67B5"/>
    <w:rsid w:val="06EA41D2"/>
    <w:rsid w:val="06F82B78"/>
    <w:rsid w:val="07227F3E"/>
    <w:rsid w:val="072A303E"/>
    <w:rsid w:val="072E42E3"/>
    <w:rsid w:val="07AC5ABA"/>
    <w:rsid w:val="07D729CE"/>
    <w:rsid w:val="07EC5839"/>
    <w:rsid w:val="081140DF"/>
    <w:rsid w:val="08404482"/>
    <w:rsid w:val="089354C7"/>
    <w:rsid w:val="089542F2"/>
    <w:rsid w:val="08A02BFD"/>
    <w:rsid w:val="08DD30A1"/>
    <w:rsid w:val="08EC0D97"/>
    <w:rsid w:val="09011940"/>
    <w:rsid w:val="0968446C"/>
    <w:rsid w:val="09880AD8"/>
    <w:rsid w:val="0A4E3826"/>
    <w:rsid w:val="0A72602D"/>
    <w:rsid w:val="0A960E3D"/>
    <w:rsid w:val="0AA5328F"/>
    <w:rsid w:val="0AC46E75"/>
    <w:rsid w:val="0AED626E"/>
    <w:rsid w:val="0B134589"/>
    <w:rsid w:val="0B3C0F4A"/>
    <w:rsid w:val="0B5E1A0A"/>
    <w:rsid w:val="0B7844AE"/>
    <w:rsid w:val="0B7E48FD"/>
    <w:rsid w:val="0B9C4A0E"/>
    <w:rsid w:val="0BB7550F"/>
    <w:rsid w:val="0BBC60FC"/>
    <w:rsid w:val="0BFB0153"/>
    <w:rsid w:val="0C080F7F"/>
    <w:rsid w:val="0C6702B6"/>
    <w:rsid w:val="0C7C0555"/>
    <w:rsid w:val="0C9614CB"/>
    <w:rsid w:val="0CA00E3D"/>
    <w:rsid w:val="0CA32A62"/>
    <w:rsid w:val="0CFC2EE8"/>
    <w:rsid w:val="0D417D41"/>
    <w:rsid w:val="0D632855"/>
    <w:rsid w:val="0D9117E4"/>
    <w:rsid w:val="0DB94700"/>
    <w:rsid w:val="0DC51F28"/>
    <w:rsid w:val="0E2F068D"/>
    <w:rsid w:val="0E545AFA"/>
    <w:rsid w:val="0E595F31"/>
    <w:rsid w:val="0E7A5AA4"/>
    <w:rsid w:val="0E8760A0"/>
    <w:rsid w:val="0EA302D5"/>
    <w:rsid w:val="0EC065B4"/>
    <w:rsid w:val="0EDB2ECE"/>
    <w:rsid w:val="0EF958C7"/>
    <w:rsid w:val="0F2A3E50"/>
    <w:rsid w:val="0F2E139E"/>
    <w:rsid w:val="0F370EB1"/>
    <w:rsid w:val="0F3B3D89"/>
    <w:rsid w:val="0F3B76E2"/>
    <w:rsid w:val="0F4628FA"/>
    <w:rsid w:val="0F4E35C6"/>
    <w:rsid w:val="0F594D76"/>
    <w:rsid w:val="0F985657"/>
    <w:rsid w:val="0F9B2B5E"/>
    <w:rsid w:val="0FB13746"/>
    <w:rsid w:val="0FB34829"/>
    <w:rsid w:val="0FB93E7C"/>
    <w:rsid w:val="0FCC6EDC"/>
    <w:rsid w:val="0FD13773"/>
    <w:rsid w:val="0FF24AF1"/>
    <w:rsid w:val="101C7AD4"/>
    <w:rsid w:val="105B51DC"/>
    <w:rsid w:val="1078578F"/>
    <w:rsid w:val="108A674B"/>
    <w:rsid w:val="1096390F"/>
    <w:rsid w:val="10A24F0F"/>
    <w:rsid w:val="10AB525C"/>
    <w:rsid w:val="10B02E63"/>
    <w:rsid w:val="10BC7B31"/>
    <w:rsid w:val="10C14D02"/>
    <w:rsid w:val="11AE5779"/>
    <w:rsid w:val="11C22947"/>
    <w:rsid w:val="11C96F3F"/>
    <w:rsid w:val="11E95878"/>
    <w:rsid w:val="11EF0A6B"/>
    <w:rsid w:val="12771CBC"/>
    <w:rsid w:val="1289446A"/>
    <w:rsid w:val="129D5111"/>
    <w:rsid w:val="12D366C1"/>
    <w:rsid w:val="12EE19F8"/>
    <w:rsid w:val="1308440F"/>
    <w:rsid w:val="131538CD"/>
    <w:rsid w:val="13404493"/>
    <w:rsid w:val="13472AF4"/>
    <w:rsid w:val="134C6766"/>
    <w:rsid w:val="135607B7"/>
    <w:rsid w:val="13B6593C"/>
    <w:rsid w:val="13BB5EEE"/>
    <w:rsid w:val="13E5432C"/>
    <w:rsid w:val="13EF65C4"/>
    <w:rsid w:val="13F352BB"/>
    <w:rsid w:val="13F406AD"/>
    <w:rsid w:val="14141C71"/>
    <w:rsid w:val="14537884"/>
    <w:rsid w:val="14542474"/>
    <w:rsid w:val="14593BBF"/>
    <w:rsid w:val="14871663"/>
    <w:rsid w:val="14B538EB"/>
    <w:rsid w:val="14CE64C7"/>
    <w:rsid w:val="14D56C28"/>
    <w:rsid w:val="151C338A"/>
    <w:rsid w:val="15233891"/>
    <w:rsid w:val="154959CD"/>
    <w:rsid w:val="155517FB"/>
    <w:rsid w:val="155B4EDF"/>
    <w:rsid w:val="1565002B"/>
    <w:rsid w:val="15E45DCF"/>
    <w:rsid w:val="1645552E"/>
    <w:rsid w:val="164973BC"/>
    <w:rsid w:val="16552D85"/>
    <w:rsid w:val="168555E8"/>
    <w:rsid w:val="169923E1"/>
    <w:rsid w:val="16D229E9"/>
    <w:rsid w:val="16D871B2"/>
    <w:rsid w:val="173D66F2"/>
    <w:rsid w:val="17430389"/>
    <w:rsid w:val="175C0959"/>
    <w:rsid w:val="177941D0"/>
    <w:rsid w:val="17CF111B"/>
    <w:rsid w:val="17D82D28"/>
    <w:rsid w:val="17DC532F"/>
    <w:rsid w:val="17EF566D"/>
    <w:rsid w:val="18016C8A"/>
    <w:rsid w:val="18025DAB"/>
    <w:rsid w:val="181A7C76"/>
    <w:rsid w:val="1826042F"/>
    <w:rsid w:val="18800267"/>
    <w:rsid w:val="188F0C66"/>
    <w:rsid w:val="18C03D89"/>
    <w:rsid w:val="19201D08"/>
    <w:rsid w:val="192604A4"/>
    <w:rsid w:val="19331813"/>
    <w:rsid w:val="19731B79"/>
    <w:rsid w:val="198122A9"/>
    <w:rsid w:val="199B1698"/>
    <w:rsid w:val="19DF3610"/>
    <w:rsid w:val="19F66DED"/>
    <w:rsid w:val="1A024AC4"/>
    <w:rsid w:val="1A1806D9"/>
    <w:rsid w:val="1A393593"/>
    <w:rsid w:val="1A3F5789"/>
    <w:rsid w:val="1A855FE9"/>
    <w:rsid w:val="1AA57B5F"/>
    <w:rsid w:val="1B260840"/>
    <w:rsid w:val="1B8E24F5"/>
    <w:rsid w:val="1B9A6011"/>
    <w:rsid w:val="1BB27F29"/>
    <w:rsid w:val="1BE4291A"/>
    <w:rsid w:val="1BE761D2"/>
    <w:rsid w:val="1C1A1EB2"/>
    <w:rsid w:val="1C2407D2"/>
    <w:rsid w:val="1C315D7E"/>
    <w:rsid w:val="1C392717"/>
    <w:rsid w:val="1C582330"/>
    <w:rsid w:val="1C65741B"/>
    <w:rsid w:val="1C732412"/>
    <w:rsid w:val="1C9618AB"/>
    <w:rsid w:val="1CBA1062"/>
    <w:rsid w:val="1CDA2B0E"/>
    <w:rsid w:val="1CE71D2A"/>
    <w:rsid w:val="1CFA3BA2"/>
    <w:rsid w:val="1CFD61B2"/>
    <w:rsid w:val="1D0063CA"/>
    <w:rsid w:val="1D0432EC"/>
    <w:rsid w:val="1D314742"/>
    <w:rsid w:val="1D52339F"/>
    <w:rsid w:val="1D580149"/>
    <w:rsid w:val="1D6C38B7"/>
    <w:rsid w:val="1D6E4F13"/>
    <w:rsid w:val="1DB73C31"/>
    <w:rsid w:val="1DD50819"/>
    <w:rsid w:val="1DFB2F26"/>
    <w:rsid w:val="1E164AA2"/>
    <w:rsid w:val="1E274B9A"/>
    <w:rsid w:val="1E5006DD"/>
    <w:rsid w:val="1E626810"/>
    <w:rsid w:val="1E7C1444"/>
    <w:rsid w:val="1EAE7E4A"/>
    <w:rsid w:val="1EB80937"/>
    <w:rsid w:val="1ED01768"/>
    <w:rsid w:val="1EE148E5"/>
    <w:rsid w:val="1EE44777"/>
    <w:rsid w:val="1EF003F6"/>
    <w:rsid w:val="1F3A1F0D"/>
    <w:rsid w:val="1F515A41"/>
    <w:rsid w:val="1F90318B"/>
    <w:rsid w:val="1FED12BE"/>
    <w:rsid w:val="1FF82DDD"/>
    <w:rsid w:val="202E4D26"/>
    <w:rsid w:val="2030185B"/>
    <w:rsid w:val="206B2D6A"/>
    <w:rsid w:val="20745833"/>
    <w:rsid w:val="208158F8"/>
    <w:rsid w:val="208E2D86"/>
    <w:rsid w:val="20A41BDD"/>
    <w:rsid w:val="20C63BD7"/>
    <w:rsid w:val="20E64394"/>
    <w:rsid w:val="20F17B57"/>
    <w:rsid w:val="21354379"/>
    <w:rsid w:val="21432F64"/>
    <w:rsid w:val="217572DE"/>
    <w:rsid w:val="2193571E"/>
    <w:rsid w:val="219A0564"/>
    <w:rsid w:val="21D218F6"/>
    <w:rsid w:val="21EE38EF"/>
    <w:rsid w:val="224A72AF"/>
    <w:rsid w:val="22547760"/>
    <w:rsid w:val="22723839"/>
    <w:rsid w:val="229B790F"/>
    <w:rsid w:val="22C305C6"/>
    <w:rsid w:val="22CF1084"/>
    <w:rsid w:val="22E87969"/>
    <w:rsid w:val="230021E3"/>
    <w:rsid w:val="230B6C59"/>
    <w:rsid w:val="23C823BC"/>
    <w:rsid w:val="23CF5A4B"/>
    <w:rsid w:val="24057464"/>
    <w:rsid w:val="2415065A"/>
    <w:rsid w:val="24902CDD"/>
    <w:rsid w:val="24A42D4D"/>
    <w:rsid w:val="24A47A11"/>
    <w:rsid w:val="24B21B8E"/>
    <w:rsid w:val="24D34D10"/>
    <w:rsid w:val="24F46692"/>
    <w:rsid w:val="24FA0328"/>
    <w:rsid w:val="250003DE"/>
    <w:rsid w:val="25045B09"/>
    <w:rsid w:val="25361970"/>
    <w:rsid w:val="25426699"/>
    <w:rsid w:val="255004F7"/>
    <w:rsid w:val="25596167"/>
    <w:rsid w:val="25600295"/>
    <w:rsid w:val="25D57113"/>
    <w:rsid w:val="25EC1CDD"/>
    <w:rsid w:val="25F91D2B"/>
    <w:rsid w:val="262C4A1B"/>
    <w:rsid w:val="26B21532"/>
    <w:rsid w:val="26D60601"/>
    <w:rsid w:val="26E51EF5"/>
    <w:rsid w:val="26E64EEB"/>
    <w:rsid w:val="26F40645"/>
    <w:rsid w:val="26FE01DA"/>
    <w:rsid w:val="270A7942"/>
    <w:rsid w:val="271C600A"/>
    <w:rsid w:val="2778394C"/>
    <w:rsid w:val="279D1605"/>
    <w:rsid w:val="27AA2D99"/>
    <w:rsid w:val="27FC6210"/>
    <w:rsid w:val="28012834"/>
    <w:rsid w:val="28017784"/>
    <w:rsid w:val="287F157E"/>
    <w:rsid w:val="288875E0"/>
    <w:rsid w:val="28B466BC"/>
    <w:rsid w:val="28D07A09"/>
    <w:rsid w:val="28D41922"/>
    <w:rsid w:val="28DD78F7"/>
    <w:rsid w:val="28EB7A03"/>
    <w:rsid w:val="29257CC2"/>
    <w:rsid w:val="29437F8A"/>
    <w:rsid w:val="29626662"/>
    <w:rsid w:val="297F7725"/>
    <w:rsid w:val="29C30969"/>
    <w:rsid w:val="29CC726F"/>
    <w:rsid w:val="29D5537D"/>
    <w:rsid w:val="29EE3372"/>
    <w:rsid w:val="2A0B4F8D"/>
    <w:rsid w:val="2A175AB0"/>
    <w:rsid w:val="2A1F3E22"/>
    <w:rsid w:val="2A5403CD"/>
    <w:rsid w:val="2A815FA4"/>
    <w:rsid w:val="2AB178AB"/>
    <w:rsid w:val="2AD02892"/>
    <w:rsid w:val="2AED414D"/>
    <w:rsid w:val="2AF269CC"/>
    <w:rsid w:val="2B13233F"/>
    <w:rsid w:val="2B541FB4"/>
    <w:rsid w:val="2B7A199A"/>
    <w:rsid w:val="2B812B85"/>
    <w:rsid w:val="2BB3210D"/>
    <w:rsid w:val="2BB97180"/>
    <w:rsid w:val="2C5300D5"/>
    <w:rsid w:val="2C706174"/>
    <w:rsid w:val="2CBC0691"/>
    <w:rsid w:val="2CC54BB8"/>
    <w:rsid w:val="2D1736DA"/>
    <w:rsid w:val="2D2864D4"/>
    <w:rsid w:val="2D415768"/>
    <w:rsid w:val="2D4F5382"/>
    <w:rsid w:val="2D631053"/>
    <w:rsid w:val="2D6405B3"/>
    <w:rsid w:val="2D82755A"/>
    <w:rsid w:val="2DA677CC"/>
    <w:rsid w:val="2DAA40C0"/>
    <w:rsid w:val="2DD32383"/>
    <w:rsid w:val="2DE50909"/>
    <w:rsid w:val="2E5B4790"/>
    <w:rsid w:val="2E7C1F33"/>
    <w:rsid w:val="2E8279C0"/>
    <w:rsid w:val="2E917FC7"/>
    <w:rsid w:val="2EB1759E"/>
    <w:rsid w:val="2EE72320"/>
    <w:rsid w:val="2EE8455C"/>
    <w:rsid w:val="2EFF3383"/>
    <w:rsid w:val="2F25260C"/>
    <w:rsid w:val="2F401D91"/>
    <w:rsid w:val="2FB76121"/>
    <w:rsid w:val="2FC414F3"/>
    <w:rsid w:val="2FE60929"/>
    <w:rsid w:val="2FF058D0"/>
    <w:rsid w:val="2FF91343"/>
    <w:rsid w:val="3030541D"/>
    <w:rsid w:val="304E57D9"/>
    <w:rsid w:val="30525AB5"/>
    <w:rsid w:val="307F4548"/>
    <w:rsid w:val="30927BE9"/>
    <w:rsid w:val="30A04589"/>
    <w:rsid w:val="30D70117"/>
    <w:rsid w:val="30E42F09"/>
    <w:rsid w:val="30EE2ED1"/>
    <w:rsid w:val="30F3439C"/>
    <w:rsid w:val="31274B61"/>
    <w:rsid w:val="314B29C9"/>
    <w:rsid w:val="315D297A"/>
    <w:rsid w:val="318352A1"/>
    <w:rsid w:val="31922776"/>
    <w:rsid w:val="31972AA0"/>
    <w:rsid w:val="31A4470C"/>
    <w:rsid w:val="31B441AF"/>
    <w:rsid w:val="32A81084"/>
    <w:rsid w:val="32BF7918"/>
    <w:rsid w:val="32D70991"/>
    <w:rsid w:val="32DA62A2"/>
    <w:rsid w:val="335A5959"/>
    <w:rsid w:val="33A91975"/>
    <w:rsid w:val="33B2679E"/>
    <w:rsid w:val="33BB38F3"/>
    <w:rsid w:val="33CF2A91"/>
    <w:rsid w:val="33DC14FA"/>
    <w:rsid w:val="34632E9A"/>
    <w:rsid w:val="34A3544B"/>
    <w:rsid w:val="34AD54F0"/>
    <w:rsid w:val="34AF549F"/>
    <w:rsid w:val="34C171EE"/>
    <w:rsid w:val="34D13ABF"/>
    <w:rsid w:val="34F34C56"/>
    <w:rsid w:val="35184128"/>
    <w:rsid w:val="357A5788"/>
    <w:rsid w:val="3595636E"/>
    <w:rsid w:val="359A31AC"/>
    <w:rsid w:val="35C02541"/>
    <w:rsid w:val="35E264C2"/>
    <w:rsid w:val="360308BC"/>
    <w:rsid w:val="36147632"/>
    <w:rsid w:val="363E2205"/>
    <w:rsid w:val="36530971"/>
    <w:rsid w:val="36561BAE"/>
    <w:rsid w:val="36610C56"/>
    <w:rsid w:val="366B24CA"/>
    <w:rsid w:val="369A140D"/>
    <w:rsid w:val="36AA0A91"/>
    <w:rsid w:val="36C46DA8"/>
    <w:rsid w:val="36EB22F5"/>
    <w:rsid w:val="37133678"/>
    <w:rsid w:val="376916D4"/>
    <w:rsid w:val="376C54CD"/>
    <w:rsid w:val="376E6E4C"/>
    <w:rsid w:val="377148CF"/>
    <w:rsid w:val="37866B0A"/>
    <w:rsid w:val="379915C7"/>
    <w:rsid w:val="37BA3808"/>
    <w:rsid w:val="37E56E79"/>
    <w:rsid w:val="38087ED0"/>
    <w:rsid w:val="38095396"/>
    <w:rsid w:val="385666E5"/>
    <w:rsid w:val="3868719E"/>
    <w:rsid w:val="38780497"/>
    <w:rsid w:val="38BE0510"/>
    <w:rsid w:val="38C24E15"/>
    <w:rsid w:val="38DB70E7"/>
    <w:rsid w:val="390908A8"/>
    <w:rsid w:val="39127E87"/>
    <w:rsid w:val="395549F2"/>
    <w:rsid w:val="3990092E"/>
    <w:rsid w:val="39C0177A"/>
    <w:rsid w:val="39C434EB"/>
    <w:rsid w:val="39C9355C"/>
    <w:rsid w:val="3A62357C"/>
    <w:rsid w:val="3A72640A"/>
    <w:rsid w:val="3ACB30DF"/>
    <w:rsid w:val="3AD16F1E"/>
    <w:rsid w:val="3B0A1924"/>
    <w:rsid w:val="3B121086"/>
    <w:rsid w:val="3B192EFF"/>
    <w:rsid w:val="3B491811"/>
    <w:rsid w:val="3B54249C"/>
    <w:rsid w:val="3B6E3ADE"/>
    <w:rsid w:val="3BB524E2"/>
    <w:rsid w:val="3BCE25E6"/>
    <w:rsid w:val="3BFA68C7"/>
    <w:rsid w:val="3C1B106D"/>
    <w:rsid w:val="3C2E47A5"/>
    <w:rsid w:val="3C5C49DA"/>
    <w:rsid w:val="3CEA2ACF"/>
    <w:rsid w:val="3D0C77C5"/>
    <w:rsid w:val="3D294A78"/>
    <w:rsid w:val="3D31789D"/>
    <w:rsid w:val="3D3F1C55"/>
    <w:rsid w:val="3D48523F"/>
    <w:rsid w:val="3D7956D5"/>
    <w:rsid w:val="3D8B06B4"/>
    <w:rsid w:val="3DC15A6F"/>
    <w:rsid w:val="3DC46A40"/>
    <w:rsid w:val="3E1B13E3"/>
    <w:rsid w:val="3EB03948"/>
    <w:rsid w:val="3EE44CCE"/>
    <w:rsid w:val="3EF5619B"/>
    <w:rsid w:val="3F272DF1"/>
    <w:rsid w:val="3F3618F0"/>
    <w:rsid w:val="3F467047"/>
    <w:rsid w:val="3F6110BD"/>
    <w:rsid w:val="3F9E63C9"/>
    <w:rsid w:val="3FA93522"/>
    <w:rsid w:val="3FBF7892"/>
    <w:rsid w:val="3FC14E74"/>
    <w:rsid w:val="40275E65"/>
    <w:rsid w:val="404A6865"/>
    <w:rsid w:val="40731D0B"/>
    <w:rsid w:val="40B25B10"/>
    <w:rsid w:val="40BD25B1"/>
    <w:rsid w:val="40D7194F"/>
    <w:rsid w:val="413B63E5"/>
    <w:rsid w:val="41510708"/>
    <w:rsid w:val="41540A99"/>
    <w:rsid w:val="41BC1F10"/>
    <w:rsid w:val="421E22B6"/>
    <w:rsid w:val="424B3AFB"/>
    <w:rsid w:val="4259503A"/>
    <w:rsid w:val="426C7A83"/>
    <w:rsid w:val="428A5C7C"/>
    <w:rsid w:val="42961ADC"/>
    <w:rsid w:val="42DB458D"/>
    <w:rsid w:val="42E250CC"/>
    <w:rsid w:val="42E6276B"/>
    <w:rsid w:val="42ED1758"/>
    <w:rsid w:val="436D1A68"/>
    <w:rsid w:val="43765341"/>
    <w:rsid w:val="437750F6"/>
    <w:rsid w:val="437A44C1"/>
    <w:rsid w:val="438007D7"/>
    <w:rsid w:val="440F0059"/>
    <w:rsid w:val="444C6E9B"/>
    <w:rsid w:val="44613E6A"/>
    <w:rsid w:val="44CB1921"/>
    <w:rsid w:val="44E24EC1"/>
    <w:rsid w:val="45736EB5"/>
    <w:rsid w:val="45902DFC"/>
    <w:rsid w:val="45DB5C46"/>
    <w:rsid w:val="45DD62B4"/>
    <w:rsid w:val="45E60474"/>
    <w:rsid w:val="46165E6D"/>
    <w:rsid w:val="462F6F73"/>
    <w:rsid w:val="464D0DEE"/>
    <w:rsid w:val="46810B28"/>
    <w:rsid w:val="46886E13"/>
    <w:rsid w:val="46A46554"/>
    <w:rsid w:val="46C1077C"/>
    <w:rsid w:val="46C40023"/>
    <w:rsid w:val="46CE0949"/>
    <w:rsid w:val="46E53C36"/>
    <w:rsid w:val="470B55D9"/>
    <w:rsid w:val="470E51B5"/>
    <w:rsid w:val="4767480A"/>
    <w:rsid w:val="476756F9"/>
    <w:rsid w:val="47756B56"/>
    <w:rsid w:val="47761232"/>
    <w:rsid w:val="478F3EA7"/>
    <w:rsid w:val="47940017"/>
    <w:rsid w:val="47960D17"/>
    <w:rsid w:val="47AD3F78"/>
    <w:rsid w:val="47C435A5"/>
    <w:rsid w:val="47CE2225"/>
    <w:rsid w:val="47D56023"/>
    <w:rsid w:val="47F652F1"/>
    <w:rsid w:val="47F944FE"/>
    <w:rsid w:val="482B5C12"/>
    <w:rsid w:val="484760CB"/>
    <w:rsid w:val="48685796"/>
    <w:rsid w:val="492958D6"/>
    <w:rsid w:val="492C3528"/>
    <w:rsid w:val="49371B85"/>
    <w:rsid w:val="496B112B"/>
    <w:rsid w:val="49760646"/>
    <w:rsid w:val="49802899"/>
    <w:rsid w:val="49A72666"/>
    <w:rsid w:val="49A969A7"/>
    <w:rsid w:val="49B4651F"/>
    <w:rsid w:val="49CA1FEA"/>
    <w:rsid w:val="49D03543"/>
    <w:rsid w:val="49D066E0"/>
    <w:rsid w:val="49D639C4"/>
    <w:rsid w:val="49E329B9"/>
    <w:rsid w:val="4A3124EC"/>
    <w:rsid w:val="4A5B0BF2"/>
    <w:rsid w:val="4A7F020D"/>
    <w:rsid w:val="4A82317F"/>
    <w:rsid w:val="4A9C1DE8"/>
    <w:rsid w:val="4AC72922"/>
    <w:rsid w:val="4AED1B3A"/>
    <w:rsid w:val="4B38501D"/>
    <w:rsid w:val="4B91648E"/>
    <w:rsid w:val="4BDA5AED"/>
    <w:rsid w:val="4BF760BA"/>
    <w:rsid w:val="4C597873"/>
    <w:rsid w:val="4C8C0F47"/>
    <w:rsid w:val="4CC53E2C"/>
    <w:rsid w:val="4CE6400E"/>
    <w:rsid w:val="4CEA49A7"/>
    <w:rsid w:val="4CF115A1"/>
    <w:rsid w:val="4CF906E8"/>
    <w:rsid w:val="4D1615AF"/>
    <w:rsid w:val="4D220525"/>
    <w:rsid w:val="4D5670A7"/>
    <w:rsid w:val="4D5D1F52"/>
    <w:rsid w:val="4D5E25B7"/>
    <w:rsid w:val="4D5F58FD"/>
    <w:rsid w:val="4D616AAD"/>
    <w:rsid w:val="4D753C7F"/>
    <w:rsid w:val="4D842927"/>
    <w:rsid w:val="4D85615B"/>
    <w:rsid w:val="4D862070"/>
    <w:rsid w:val="4D99072E"/>
    <w:rsid w:val="4DA53A4B"/>
    <w:rsid w:val="4DBC63C0"/>
    <w:rsid w:val="4DD01143"/>
    <w:rsid w:val="4DEB5937"/>
    <w:rsid w:val="4DFC1A95"/>
    <w:rsid w:val="4DFC4AC2"/>
    <w:rsid w:val="4E0F41BD"/>
    <w:rsid w:val="4E540763"/>
    <w:rsid w:val="4E6502EE"/>
    <w:rsid w:val="4E72442D"/>
    <w:rsid w:val="4EB0364A"/>
    <w:rsid w:val="4EBE303C"/>
    <w:rsid w:val="4F0C4727"/>
    <w:rsid w:val="4F386133"/>
    <w:rsid w:val="4F4C3FF2"/>
    <w:rsid w:val="4F5D7111"/>
    <w:rsid w:val="4F734A9C"/>
    <w:rsid w:val="4F862153"/>
    <w:rsid w:val="4F8E36B5"/>
    <w:rsid w:val="4FA45F82"/>
    <w:rsid w:val="4FC12950"/>
    <w:rsid w:val="4FC20AA7"/>
    <w:rsid w:val="4FC32466"/>
    <w:rsid w:val="4FE80B78"/>
    <w:rsid w:val="4FF026F6"/>
    <w:rsid w:val="5023575A"/>
    <w:rsid w:val="502B1FD2"/>
    <w:rsid w:val="505F1EFD"/>
    <w:rsid w:val="506D19A0"/>
    <w:rsid w:val="50B70587"/>
    <w:rsid w:val="50F2027E"/>
    <w:rsid w:val="5138149F"/>
    <w:rsid w:val="513D1102"/>
    <w:rsid w:val="518D0F85"/>
    <w:rsid w:val="51900452"/>
    <w:rsid w:val="519A03E7"/>
    <w:rsid w:val="51A052FF"/>
    <w:rsid w:val="51DA6789"/>
    <w:rsid w:val="51DB0220"/>
    <w:rsid w:val="520E4374"/>
    <w:rsid w:val="521024B8"/>
    <w:rsid w:val="52146302"/>
    <w:rsid w:val="52200DA4"/>
    <w:rsid w:val="5225491B"/>
    <w:rsid w:val="523978C1"/>
    <w:rsid w:val="523A3EFE"/>
    <w:rsid w:val="524B55E8"/>
    <w:rsid w:val="52D56001"/>
    <w:rsid w:val="52DD0A68"/>
    <w:rsid w:val="52E02222"/>
    <w:rsid w:val="52E24F75"/>
    <w:rsid w:val="52EC7E76"/>
    <w:rsid w:val="530B51E0"/>
    <w:rsid w:val="53245104"/>
    <w:rsid w:val="533C0708"/>
    <w:rsid w:val="534015E4"/>
    <w:rsid w:val="5345588D"/>
    <w:rsid w:val="53994236"/>
    <w:rsid w:val="53A92D20"/>
    <w:rsid w:val="53B034DF"/>
    <w:rsid w:val="53BD07FE"/>
    <w:rsid w:val="543B766E"/>
    <w:rsid w:val="54B21C12"/>
    <w:rsid w:val="54BD5631"/>
    <w:rsid w:val="54D05403"/>
    <w:rsid w:val="54DE0F4F"/>
    <w:rsid w:val="54E53259"/>
    <w:rsid w:val="54E97D97"/>
    <w:rsid w:val="55060C35"/>
    <w:rsid w:val="550F19EF"/>
    <w:rsid w:val="55281EC9"/>
    <w:rsid w:val="55970A48"/>
    <w:rsid w:val="55AD2828"/>
    <w:rsid w:val="55B769EE"/>
    <w:rsid w:val="560B1770"/>
    <w:rsid w:val="563D07A6"/>
    <w:rsid w:val="5655719F"/>
    <w:rsid w:val="566D22D6"/>
    <w:rsid w:val="567D746F"/>
    <w:rsid w:val="568527A9"/>
    <w:rsid w:val="56DA2ACA"/>
    <w:rsid w:val="56EC7DEB"/>
    <w:rsid w:val="57283289"/>
    <w:rsid w:val="57787D9B"/>
    <w:rsid w:val="577C1E80"/>
    <w:rsid w:val="578F49AA"/>
    <w:rsid w:val="57981425"/>
    <w:rsid w:val="579E6879"/>
    <w:rsid w:val="583B33B5"/>
    <w:rsid w:val="58720724"/>
    <w:rsid w:val="588C0AAD"/>
    <w:rsid w:val="58AA3B72"/>
    <w:rsid w:val="58C67695"/>
    <w:rsid w:val="58F05AD9"/>
    <w:rsid w:val="59036554"/>
    <w:rsid w:val="591E658A"/>
    <w:rsid w:val="59200143"/>
    <w:rsid w:val="59742A54"/>
    <w:rsid w:val="59AA694D"/>
    <w:rsid w:val="59AC0469"/>
    <w:rsid w:val="59C51F91"/>
    <w:rsid w:val="59D6612D"/>
    <w:rsid w:val="5A7079F8"/>
    <w:rsid w:val="5A7A73D5"/>
    <w:rsid w:val="5A812E59"/>
    <w:rsid w:val="5A8C7655"/>
    <w:rsid w:val="5A995DAB"/>
    <w:rsid w:val="5ABA7460"/>
    <w:rsid w:val="5AF779F8"/>
    <w:rsid w:val="5AFE705E"/>
    <w:rsid w:val="5B747096"/>
    <w:rsid w:val="5B9C24F1"/>
    <w:rsid w:val="5B9E50D3"/>
    <w:rsid w:val="5BB34CCB"/>
    <w:rsid w:val="5BB46CAC"/>
    <w:rsid w:val="5BC16969"/>
    <w:rsid w:val="5BE22785"/>
    <w:rsid w:val="5C105F94"/>
    <w:rsid w:val="5C251D7A"/>
    <w:rsid w:val="5C5551B2"/>
    <w:rsid w:val="5C9A3F41"/>
    <w:rsid w:val="5CBF064C"/>
    <w:rsid w:val="5CE30F97"/>
    <w:rsid w:val="5CFA1CEF"/>
    <w:rsid w:val="5CFE5CC5"/>
    <w:rsid w:val="5D20206B"/>
    <w:rsid w:val="5D2C49EA"/>
    <w:rsid w:val="5DB73653"/>
    <w:rsid w:val="5DD111FA"/>
    <w:rsid w:val="5DE44F8E"/>
    <w:rsid w:val="5DF121E3"/>
    <w:rsid w:val="5DFB01A7"/>
    <w:rsid w:val="5DFF4FB2"/>
    <w:rsid w:val="5E0B2584"/>
    <w:rsid w:val="5E144BDE"/>
    <w:rsid w:val="5E1F7A37"/>
    <w:rsid w:val="5E2E2111"/>
    <w:rsid w:val="5E2F576D"/>
    <w:rsid w:val="5E4274C8"/>
    <w:rsid w:val="5E992C9A"/>
    <w:rsid w:val="5EA04E46"/>
    <w:rsid w:val="5EA22A81"/>
    <w:rsid w:val="5EC82C37"/>
    <w:rsid w:val="5EF210D2"/>
    <w:rsid w:val="5F042BD4"/>
    <w:rsid w:val="5F230F76"/>
    <w:rsid w:val="5F2447E2"/>
    <w:rsid w:val="5F46090C"/>
    <w:rsid w:val="5F4B0F3F"/>
    <w:rsid w:val="5F7525DE"/>
    <w:rsid w:val="5FAC797D"/>
    <w:rsid w:val="5FC638C8"/>
    <w:rsid w:val="5FCA523F"/>
    <w:rsid w:val="5FD07119"/>
    <w:rsid w:val="60101A23"/>
    <w:rsid w:val="602A170A"/>
    <w:rsid w:val="6033434E"/>
    <w:rsid w:val="60437933"/>
    <w:rsid w:val="605A28BD"/>
    <w:rsid w:val="605F2BCC"/>
    <w:rsid w:val="606F76AD"/>
    <w:rsid w:val="60E50878"/>
    <w:rsid w:val="60E664A3"/>
    <w:rsid w:val="60F45E43"/>
    <w:rsid w:val="6104775B"/>
    <w:rsid w:val="610B183C"/>
    <w:rsid w:val="612E3B5A"/>
    <w:rsid w:val="61587332"/>
    <w:rsid w:val="61587375"/>
    <w:rsid w:val="61613AC5"/>
    <w:rsid w:val="61D640C8"/>
    <w:rsid w:val="621D5FD0"/>
    <w:rsid w:val="62292F3D"/>
    <w:rsid w:val="625351F3"/>
    <w:rsid w:val="62553A9B"/>
    <w:rsid w:val="6260411A"/>
    <w:rsid w:val="628505C1"/>
    <w:rsid w:val="62A954D2"/>
    <w:rsid w:val="62F108DD"/>
    <w:rsid w:val="63047C19"/>
    <w:rsid w:val="632C6E94"/>
    <w:rsid w:val="63303DCB"/>
    <w:rsid w:val="634C6EB4"/>
    <w:rsid w:val="63635995"/>
    <w:rsid w:val="636D2380"/>
    <w:rsid w:val="637D4B46"/>
    <w:rsid w:val="63A00901"/>
    <w:rsid w:val="63B80C59"/>
    <w:rsid w:val="63CF661A"/>
    <w:rsid w:val="63D66D3A"/>
    <w:rsid w:val="63FF657D"/>
    <w:rsid w:val="642E5201"/>
    <w:rsid w:val="6443370C"/>
    <w:rsid w:val="6445786C"/>
    <w:rsid w:val="64654C7D"/>
    <w:rsid w:val="64BF04EC"/>
    <w:rsid w:val="651C43F6"/>
    <w:rsid w:val="658451FA"/>
    <w:rsid w:val="658729D1"/>
    <w:rsid w:val="65B82F01"/>
    <w:rsid w:val="65C02314"/>
    <w:rsid w:val="65DF69CF"/>
    <w:rsid w:val="65FA5B9B"/>
    <w:rsid w:val="661D5F6E"/>
    <w:rsid w:val="662709C0"/>
    <w:rsid w:val="664D53FF"/>
    <w:rsid w:val="666230CA"/>
    <w:rsid w:val="66633C44"/>
    <w:rsid w:val="66AB6754"/>
    <w:rsid w:val="66B97285"/>
    <w:rsid w:val="66BB48E1"/>
    <w:rsid w:val="66CD6978"/>
    <w:rsid w:val="66DB1226"/>
    <w:rsid w:val="67557264"/>
    <w:rsid w:val="678C3714"/>
    <w:rsid w:val="67935298"/>
    <w:rsid w:val="67AC14B0"/>
    <w:rsid w:val="68125DC5"/>
    <w:rsid w:val="68517281"/>
    <w:rsid w:val="68567627"/>
    <w:rsid w:val="685A3285"/>
    <w:rsid w:val="68875505"/>
    <w:rsid w:val="69093A56"/>
    <w:rsid w:val="691F7F79"/>
    <w:rsid w:val="69247457"/>
    <w:rsid w:val="698A4060"/>
    <w:rsid w:val="69BD78EA"/>
    <w:rsid w:val="69C14172"/>
    <w:rsid w:val="69C34519"/>
    <w:rsid w:val="69E14866"/>
    <w:rsid w:val="6A067DB5"/>
    <w:rsid w:val="6A32794B"/>
    <w:rsid w:val="6A3B2019"/>
    <w:rsid w:val="6A3B5037"/>
    <w:rsid w:val="6A644FF5"/>
    <w:rsid w:val="6A86245B"/>
    <w:rsid w:val="6A9D6990"/>
    <w:rsid w:val="6B0117E7"/>
    <w:rsid w:val="6B6B0FCC"/>
    <w:rsid w:val="6B7867DE"/>
    <w:rsid w:val="6BA90006"/>
    <w:rsid w:val="6BE47D58"/>
    <w:rsid w:val="6BF65381"/>
    <w:rsid w:val="6C06452B"/>
    <w:rsid w:val="6C161E18"/>
    <w:rsid w:val="6C590729"/>
    <w:rsid w:val="6CBB08C6"/>
    <w:rsid w:val="6CBB2E01"/>
    <w:rsid w:val="6CD146A3"/>
    <w:rsid w:val="6D0C1225"/>
    <w:rsid w:val="6D26601F"/>
    <w:rsid w:val="6D285477"/>
    <w:rsid w:val="6D2A351D"/>
    <w:rsid w:val="6D2C5AA6"/>
    <w:rsid w:val="6D617534"/>
    <w:rsid w:val="6D916401"/>
    <w:rsid w:val="6DC02F24"/>
    <w:rsid w:val="6DD52377"/>
    <w:rsid w:val="6E00085C"/>
    <w:rsid w:val="6E280AA2"/>
    <w:rsid w:val="6E3431D3"/>
    <w:rsid w:val="6E353F08"/>
    <w:rsid w:val="6E3879E1"/>
    <w:rsid w:val="6E815E20"/>
    <w:rsid w:val="6EA00BB6"/>
    <w:rsid w:val="6EC35D97"/>
    <w:rsid w:val="6EDA20CC"/>
    <w:rsid w:val="6F827E1F"/>
    <w:rsid w:val="6FBE33DD"/>
    <w:rsid w:val="6FC261AE"/>
    <w:rsid w:val="6FF32C92"/>
    <w:rsid w:val="700A041B"/>
    <w:rsid w:val="70141305"/>
    <w:rsid w:val="70262FB0"/>
    <w:rsid w:val="70695629"/>
    <w:rsid w:val="707C6611"/>
    <w:rsid w:val="70CB5F34"/>
    <w:rsid w:val="70FD6581"/>
    <w:rsid w:val="71453F5E"/>
    <w:rsid w:val="71754C95"/>
    <w:rsid w:val="717C2DC2"/>
    <w:rsid w:val="718474EC"/>
    <w:rsid w:val="71C9438B"/>
    <w:rsid w:val="71EB232F"/>
    <w:rsid w:val="71EC169C"/>
    <w:rsid w:val="71F22395"/>
    <w:rsid w:val="725B4ABA"/>
    <w:rsid w:val="72944A57"/>
    <w:rsid w:val="72E03AF4"/>
    <w:rsid w:val="73071434"/>
    <w:rsid w:val="732F3A9D"/>
    <w:rsid w:val="73310943"/>
    <w:rsid w:val="736B45B4"/>
    <w:rsid w:val="736E713E"/>
    <w:rsid w:val="73821076"/>
    <w:rsid w:val="73986A49"/>
    <w:rsid w:val="73A53F05"/>
    <w:rsid w:val="73AA2969"/>
    <w:rsid w:val="73B22405"/>
    <w:rsid w:val="73CF1F2D"/>
    <w:rsid w:val="73FC1BEE"/>
    <w:rsid w:val="74174A0B"/>
    <w:rsid w:val="745514F1"/>
    <w:rsid w:val="74822716"/>
    <w:rsid w:val="74A77D79"/>
    <w:rsid w:val="74AC2616"/>
    <w:rsid w:val="74BB2C8C"/>
    <w:rsid w:val="74C5083D"/>
    <w:rsid w:val="74EE2280"/>
    <w:rsid w:val="750D3D28"/>
    <w:rsid w:val="756176A1"/>
    <w:rsid w:val="757F2125"/>
    <w:rsid w:val="75C5459B"/>
    <w:rsid w:val="75C94243"/>
    <w:rsid w:val="75CB48CE"/>
    <w:rsid w:val="765866EF"/>
    <w:rsid w:val="766429FA"/>
    <w:rsid w:val="76D45B66"/>
    <w:rsid w:val="76D75202"/>
    <w:rsid w:val="76F11CEC"/>
    <w:rsid w:val="76FE2417"/>
    <w:rsid w:val="76FF573C"/>
    <w:rsid w:val="77133453"/>
    <w:rsid w:val="771E653D"/>
    <w:rsid w:val="77222009"/>
    <w:rsid w:val="77594142"/>
    <w:rsid w:val="7763578D"/>
    <w:rsid w:val="776F4878"/>
    <w:rsid w:val="77856B7B"/>
    <w:rsid w:val="77960793"/>
    <w:rsid w:val="77C3520C"/>
    <w:rsid w:val="77F14D74"/>
    <w:rsid w:val="77F37F86"/>
    <w:rsid w:val="78126A72"/>
    <w:rsid w:val="786950C5"/>
    <w:rsid w:val="78770A44"/>
    <w:rsid w:val="788E700F"/>
    <w:rsid w:val="789D19B9"/>
    <w:rsid w:val="78B23DE8"/>
    <w:rsid w:val="78E345B9"/>
    <w:rsid w:val="78F6760F"/>
    <w:rsid w:val="790533D2"/>
    <w:rsid w:val="79385B7B"/>
    <w:rsid w:val="794006DB"/>
    <w:rsid w:val="798F3428"/>
    <w:rsid w:val="79D85CE8"/>
    <w:rsid w:val="79E83644"/>
    <w:rsid w:val="7A0D3270"/>
    <w:rsid w:val="7A1E0BB7"/>
    <w:rsid w:val="7A322C02"/>
    <w:rsid w:val="7A5C36CC"/>
    <w:rsid w:val="7ABD644E"/>
    <w:rsid w:val="7ACB1F28"/>
    <w:rsid w:val="7AF65F04"/>
    <w:rsid w:val="7B020EA0"/>
    <w:rsid w:val="7B052BD7"/>
    <w:rsid w:val="7B072853"/>
    <w:rsid w:val="7B462195"/>
    <w:rsid w:val="7B573BD4"/>
    <w:rsid w:val="7B5B2FAF"/>
    <w:rsid w:val="7BA10F88"/>
    <w:rsid w:val="7BE439BC"/>
    <w:rsid w:val="7C4A2457"/>
    <w:rsid w:val="7C5B0F80"/>
    <w:rsid w:val="7C7237B5"/>
    <w:rsid w:val="7CA44252"/>
    <w:rsid w:val="7CBC04AD"/>
    <w:rsid w:val="7D165727"/>
    <w:rsid w:val="7D2D3851"/>
    <w:rsid w:val="7D895F39"/>
    <w:rsid w:val="7DA34630"/>
    <w:rsid w:val="7DA40457"/>
    <w:rsid w:val="7DB479EE"/>
    <w:rsid w:val="7DCD6635"/>
    <w:rsid w:val="7DCE3C95"/>
    <w:rsid w:val="7E241224"/>
    <w:rsid w:val="7E92554B"/>
    <w:rsid w:val="7E9C1324"/>
    <w:rsid w:val="7EB276BD"/>
    <w:rsid w:val="7EB55645"/>
    <w:rsid w:val="7EC66D43"/>
    <w:rsid w:val="7ED90D0D"/>
    <w:rsid w:val="7EE36967"/>
    <w:rsid w:val="7F4108E0"/>
    <w:rsid w:val="7F555B22"/>
    <w:rsid w:val="7F8B43C5"/>
    <w:rsid w:val="7F943ACA"/>
    <w:rsid w:val="7F9663C3"/>
    <w:rsid w:val="7FA345E5"/>
    <w:rsid w:val="7FB8072B"/>
    <w:rsid w:val="7FBE0FFC"/>
    <w:rsid w:val="7FE74B3D"/>
    <w:rsid w:val="7FF32CE5"/>
    <w:rsid w:val="ADFF7668"/>
    <w:rsid w:val="FFC832C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99"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iPriority="99" w:semiHidden="0" w:name="Salutation"/>
    <w:lsdException w:unhideWhenUsed="0" w:uiPriority="0" w:semiHidden="0" w:name="Date"/>
    <w:lsdException w:qFormat="1" w:uiPriority="99"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415" w:lineRule="auto"/>
      <w:outlineLvl w:val="1"/>
    </w:pPr>
    <w:rPr>
      <w:rFonts w:ascii="Arial" w:hAnsi="Arial" w:eastAsia="黑体"/>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style>
  <w:style w:type="paragraph" w:styleId="7">
    <w:name w:val="Normal Indent"/>
    <w:basedOn w:val="1"/>
    <w:qFormat/>
    <w:uiPriority w:val="0"/>
    <w:pPr>
      <w:ind w:firstLine="200" w:firstLineChars="200"/>
    </w:pPr>
  </w:style>
  <w:style w:type="paragraph" w:styleId="8">
    <w:name w:val="Document Map"/>
    <w:basedOn w:val="1"/>
    <w:link w:val="40"/>
    <w:qFormat/>
    <w:uiPriority w:val="0"/>
    <w:rPr>
      <w:rFonts w:ascii="宋体"/>
      <w:sz w:val="18"/>
      <w:szCs w:val="18"/>
    </w:rPr>
  </w:style>
  <w:style w:type="paragraph" w:styleId="9">
    <w:name w:val="toa heading"/>
    <w:basedOn w:val="1"/>
    <w:next w:val="1"/>
    <w:qFormat/>
    <w:uiPriority w:val="99"/>
    <w:pPr>
      <w:spacing w:before="120" w:after="120"/>
    </w:pPr>
    <w:rPr>
      <w:rFonts w:ascii="Arial" w:hAnsi="Arial"/>
      <w:sz w:val="24"/>
      <w:szCs w:val="20"/>
    </w:rPr>
  </w:style>
  <w:style w:type="paragraph" w:styleId="10">
    <w:name w:val="annotation text"/>
    <w:basedOn w:val="1"/>
    <w:link w:val="41"/>
    <w:qFormat/>
    <w:uiPriority w:val="0"/>
    <w:pPr>
      <w:jc w:val="left"/>
    </w:pPr>
  </w:style>
  <w:style w:type="paragraph" w:styleId="11">
    <w:name w:val="Salutation"/>
    <w:basedOn w:val="1"/>
    <w:next w:val="1"/>
    <w:unhideWhenUsed/>
    <w:qFormat/>
    <w:uiPriority w:val="99"/>
  </w:style>
  <w:style w:type="paragraph" w:styleId="12">
    <w:name w:val="Body Text"/>
    <w:basedOn w:val="1"/>
    <w:next w:val="13"/>
    <w:link w:val="63"/>
    <w:qFormat/>
    <w:uiPriority w:val="0"/>
    <w:pPr>
      <w:spacing w:after="120"/>
    </w:pPr>
  </w:style>
  <w:style w:type="paragraph" w:styleId="13">
    <w:name w:val="Body Text First Indent"/>
    <w:basedOn w:val="12"/>
    <w:unhideWhenUsed/>
    <w:qFormat/>
    <w:uiPriority w:val="99"/>
    <w:pPr>
      <w:ind w:firstLine="420" w:firstLineChars="100"/>
    </w:pPr>
  </w:style>
  <w:style w:type="paragraph" w:styleId="14">
    <w:name w:val="Body Text Indent"/>
    <w:basedOn w:val="1"/>
    <w:qFormat/>
    <w:uiPriority w:val="0"/>
    <w:pPr>
      <w:ind w:firstLine="630"/>
    </w:pPr>
    <w:rPr>
      <w:sz w:val="32"/>
      <w:szCs w:val="20"/>
    </w:rPr>
  </w:style>
  <w:style w:type="paragraph" w:styleId="15">
    <w:name w:val="List 2"/>
    <w:basedOn w:val="1"/>
    <w:qFormat/>
    <w:uiPriority w:val="0"/>
    <w:pPr>
      <w:ind w:left="100" w:leftChars="200" w:hanging="200" w:hangingChars="200"/>
    </w:pPr>
  </w:style>
  <w:style w:type="paragraph" w:styleId="16">
    <w:name w:val="toc 5"/>
    <w:basedOn w:val="1"/>
    <w:next w:val="1"/>
    <w:qFormat/>
    <w:uiPriority w:val="39"/>
    <w:pPr>
      <w:ind w:left="1680" w:leftChars="800"/>
    </w:pPr>
  </w:style>
  <w:style w:type="paragraph" w:styleId="17">
    <w:name w:val="toc 3"/>
    <w:basedOn w:val="1"/>
    <w:next w:val="1"/>
    <w:qFormat/>
    <w:uiPriority w:val="39"/>
    <w:pPr>
      <w:ind w:left="840" w:leftChars="400"/>
    </w:pPr>
  </w:style>
  <w:style w:type="paragraph" w:styleId="18">
    <w:name w:val="Plain Text"/>
    <w:basedOn w:val="1"/>
    <w:qFormat/>
    <w:uiPriority w:val="99"/>
    <w:pPr>
      <w:autoSpaceDE w:val="0"/>
      <w:autoSpaceDN w:val="0"/>
      <w:adjustRightInd w:val="0"/>
    </w:pPr>
    <w:rPr>
      <w:rFonts w:ascii="宋体" w:hAnsi="Tms Rmn" w:cstheme="minorBidi"/>
      <w:szCs w:val="22"/>
    </w:rPr>
  </w:style>
  <w:style w:type="paragraph" w:styleId="19">
    <w:name w:val="toc 8"/>
    <w:basedOn w:val="1"/>
    <w:next w:val="1"/>
    <w:qFormat/>
    <w:uiPriority w:val="39"/>
    <w:pPr>
      <w:ind w:left="2940" w:leftChars="1400"/>
    </w:pPr>
  </w:style>
  <w:style w:type="paragraph" w:styleId="20">
    <w:name w:val="Body Text Indent 2"/>
    <w:basedOn w:val="1"/>
    <w:qFormat/>
    <w:uiPriority w:val="0"/>
    <w:pPr>
      <w:spacing w:after="120" w:line="480" w:lineRule="auto"/>
      <w:ind w:left="420" w:leftChars="200"/>
    </w:pPr>
  </w:style>
  <w:style w:type="paragraph" w:styleId="21">
    <w:name w:val="Balloon Text"/>
    <w:basedOn w:val="1"/>
    <w:link w:val="42"/>
    <w:qFormat/>
    <w:uiPriority w:val="0"/>
    <w:rPr>
      <w:sz w:val="18"/>
      <w:szCs w:val="18"/>
    </w:rPr>
  </w:style>
  <w:style w:type="paragraph" w:styleId="22">
    <w:name w:val="footer"/>
    <w:basedOn w:val="1"/>
    <w:qFormat/>
    <w:uiPriority w:val="0"/>
    <w:pPr>
      <w:tabs>
        <w:tab w:val="center" w:pos="4153"/>
        <w:tab w:val="right" w:pos="8306"/>
      </w:tabs>
      <w:snapToGrid w:val="0"/>
      <w:jc w:val="left"/>
    </w:pPr>
    <w:rPr>
      <w:sz w:val="18"/>
      <w:szCs w:val="20"/>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4">
    <w:name w:val="toc 1"/>
    <w:basedOn w:val="1"/>
    <w:next w:val="1"/>
    <w:qFormat/>
    <w:uiPriority w:val="39"/>
  </w:style>
  <w:style w:type="paragraph" w:styleId="25">
    <w:name w:val="toc 4"/>
    <w:basedOn w:val="1"/>
    <w:next w:val="1"/>
    <w:qFormat/>
    <w:uiPriority w:val="39"/>
    <w:pPr>
      <w:ind w:left="1260" w:leftChars="600"/>
    </w:pPr>
  </w:style>
  <w:style w:type="paragraph" w:styleId="26">
    <w:name w:val="toc 6"/>
    <w:basedOn w:val="1"/>
    <w:next w:val="1"/>
    <w:qFormat/>
    <w:uiPriority w:val="39"/>
    <w:pPr>
      <w:ind w:left="2100" w:leftChars="1000"/>
    </w:pPr>
  </w:style>
  <w:style w:type="paragraph" w:styleId="27">
    <w:name w:val="toc 2"/>
    <w:basedOn w:val="1"/>
    <w:next w:val="1"/>
    <w:qFormat/>
    <w:uiPriority w:val="39"/>
    <w:pPr>
      <w:ind w:left="420" w:leftChars="200"/>
    </w:pPr>
  </w:style>
  <w:style w:type="paragraph" w:styleId="28">
    <w:name w:val="toc 9"/>
    <w:basedOn w:val="1"/>
    <w:next w:val="1"/>
    <w:qFormat/>
    <w:uiPriority w:val="39"/>
    <w:pPr>
      <w:ind w:left="3360" w:leftChars="1600"/>
    </w:pPr>
  </w:style>
  <w:style w:type="paragraph" w:styleId="29">
    <w:name w:val="Normal (Web)"/>
    <w:basedOn w:val="1"/>
    <w:qFormat/>
    <w:uiPriority w:val="0"/>
    <w:pPr>
      <w:widowControl/>
      <w:spacing w:before="100" w:beforeAutospacing="1" w:after="100" w:afterAutospacing="1"/>
      <w:jc w:val="left"/>
    </w:pPr>
    <w:rPr>
      <w:rFonts w:ascii="宋体"/>
      <w:kern w:val="0"/>
      <w:sz w:val="18"/>
      <w:szCs w:val="18"/>
    </w:rPr>
  </w:style>
  <w:style w:type="paragraph" w:styleId="30">
    <w:name w:val="annotation subject"/>
    <w:basedOn w:val="10"/>
    <w:next w:val="10"/>
    <w:link w:val="43"/>
    <w:qFormat/>
    <w:uiPriority w:val="0"/>
    <w:rPr>
      <w:b/>
      <w:bCs/>
    </w:rPr>
  </w:style>
  <w:style w:type="paragraph" w:styleId="31">
    <w:name w:val="Body Text First Indent 2"/>
    <w:basedOn w:val="14"/>
    <w:unhideWhenUsed/>
    <w:qFormat/>
    <w:uiPriority w:val="99"/>
    <w:pPr>
      <w:spacing w:before="100" w:beforeAutospacing="1" w:line="480" w:lineRule="exact"/>
      <w:ind w:left="0" w:leftChars="0" w:firstLine="420"/>
    </w:pPr>
    <w:rPr>
      <w:sz w:val="28"/>
      <w:szCs w:val="28"/>
    </w:rPr>
  </w:style>
  <w:style w:type="table" w:styleId="33">
    <w:name w:val="Table Grid"/>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page number"/>
    <w:qFormat/>
    <w:uiPriority w:val="0"/>
  </w:style>
  <w:style w:type="character" w:styleId="36">
    <w:name w:val="FollowedHyperlink"/>
    <w:basedOn w:val="34"/>
    <w:unhideWhenUsed/>
    <w:qFormat/>
    <w:uiPriority w:val="0"/>
    <w:rPr>
      <w:color w:val="954F72" w:themeColor="followedHyperlink"/>
      <w:u w:val="single"/>
      <w14:textFill>
        <w14:solidFill>
          <w14:schemeClr w14:val="folHlink"/>
        </w14:solidFill>
      </w14:textFill>
    </w:rPr>
  </w:style>
  <w:style w:type="character" w:styleId="37">
    <w:name w:val="Hyperlink"/>
    <w:basedOn w:val="34"/>
    <w:unhideWhenUsed/>
    <w:qFormat/>
    <w:uiPriority w:val="99"/>
    <w:rPr>
      <w:color w:val="0563C1" w:themeColor="hyperlink"/>
      <w:u w:val="single"/>
      <w14:textFill>
        <w14:solidFill>
          <w14:schemeClr w14:val="hlink"/>
        </w14:solidFill>
      </w14:textFill>
    </w:rPr>
  </w:style>
  <w:style w:type="character" w:styleId="38">
    <w:name w:val="annotation reference"/>
    <w:qFormat/>
    <w:uiPriority w:val="99"/>
    <w:rPr>
      <w:sz w:val="21"/>
      <w:szCs w:val="21"/>
    </w:rPr>
  </w:style>
  <w:style w:type="character" w:customStyle="1" w:styleId="39">
    <w:name w:val="标题 1 Char"/>
    <w:link w:val="2"/>
    <w:qFormat/>
    <w:uiPriority w:val="0"/>
    <w:rPr>
      <w:b/>
      <w:bCs/>
      <w:kern w:val="44"/>
      <w:sz w:val="44"/>
      <w:szCs w:val="44"/>
    </w:rPr>
  </w:style>
  <w:style w:type="character" w:customStyle="1" w:styleId="40">
    <w:name w:val="文档结构图 Char"/>
    <w:link w:val="8"/>
    <w:qFormat/>
    <w:uiPriority w:val="0"/>
    <w:rPr>
      <w:rFonts w:ascii="宋体"/>
      <w:kern w:val="2"/>
      <w:sz w:val="18"/>
      <w:szCs w:val="18"/>
    </w:rPr>
  </w:style>
  <w:style w:type="character" w:customStyle="1" w:styleId="41">
    <w:name w:val="批注文字 Char"/>
    <w:link w:val="10"/>
    <w:qFormat/>
    <w:uiPriority w:val="0"/>
    <w:rPr>
      <w:kern w:val="2"/>
      <w:sz w:val="21"/>
      <w:szCs w:val="24"/>
    </w:rPr>
  </w:style>
  <w:style w:type="character" w:customStyle="1" w:styleId="42">
    <w:name w:val="批注框文本 Char"/>
    <w:link w:val="21"/>
    <w:qFormat/>
    <w:uiPriority w:val="0"/>
    <w:rPr>
      <w:kern w:val="2"/>
      <w:sz w:val="18"/>
      <w:szCs w:val="18"/>
    </w:rPr>
  </w:style>
  <w:style w:type="character" w:customStyle="1" w:styleId="43">
    <w:name w:val="批注主题 Char"/>
    <w:link w:val="30"/>
    <w:qFormat/>
    <w:uiPriority w:val="0"/>
    <w:rPr>
      <w:b/>
      <w:bCs/>
      <w:kern w:val="2"/>
      <w:sz w:val="21"/>
      <w:szCs w:val="24"/>
    </w:rPr>
  </w:style>
  <w:style w:type="character" w:customStyle="1" w:styleId="44">
    <w:name w:val="font91"/>
    <w:qFormat/>
    <w:uiPriority w:val="0"/>
    <w:rPr>
      <w:rFonts w:hint="eastAsia" w:ascii="宋体" w:hAnsi="宋体" w:eastAsia="宋体" w:cs="宋体"/>
      <w:color w:val="FF0000"/>
      <w:sz w:val="21"/>
      <w:szCs w:val="21"/>
      <w:u w:val="single"/>
    </w:rPr>
  </w:style>
  <w:style w:type="character" w:customStyle="1" w:styleId="45">
    <w:name w:val="font101"/>
    <w:qFormat/>
    <w:uiPriority w:val="0"/>
    <w:rPr>
      <w:rFonts w:hint="eastAsia" w:ascii="宋体" w:hAnsi="宋体" w:eastAsia="宋体" w:cs="宋体"/>
      <w:color w:val="000000"/>
      <w:sz w:val="21"/>
      <w:szCs w:val="21"/>
      <w:u w:val="single"/>
    </w:rPr>
  </w:style>
  <w:style w:type="character" w:customStyle="1" w:styleId="46">
    <w:name w:val="font111"/>
    <w:qFormat/>
    <w:uiPriority w:val="0"/>
    <w:rPr>
      <w:rFonts w:hint="default" w:ascii="Eʩ" w:hAnsi="Eʩ" w:eastAsia="Eʩ" w:cs="Eʩ"/>
      <w:color w:val="000000"/>
      <w:sz w:val="21"/>
      <w:szCs w:val="21"/>
      <w:u w:val="single"/>
    </w:rPr>
  </w:style>
  <w:style w:type="character" w:customStyle="1" w:styleId="47">
    <w:name w:val="font31"/>
    <w:qFormat/>
    <w:uiPriority w:val="0"/>
    <w:rPr>
      <w:rFonts w:hint="eastAsia" w:ascii="宋体" w:hAnsi="宋体" w:eastAsia="宋体" w:cs="宋体"/>
      <w:color w:val="000000"/>
      <w:sz w:val="21"/>
      <w:szCs w:val="21"/>
      <w:u w:val="none"/>
    </w:rPr>
  </w:style>
  <w:style w:type="paragraph" w:customStyle="1" w:styleId="48">
    <w:name w:val="正文1"/>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9">
    <w:name w:val="样式 首行缩进:  2 字符"/>
    <w:basedOn w:val="1"/>
    <w:qFormat/>
    <w:uiPriority w:val="0"/>
    <w:pPr>
      <w:spacing w:line="400" w:lineRule="exact"/>
      <w:ind w:firstLine="200" w:firstLineChars="200"/>
    </w:pPr>
    <w:rPr>
      <w:rFonts w:cs="宋体"/>
      <w:sz w:val="24"/>
    </w:rPr>
  </w:style>
  <w:style w:type="paragraph" w:customStyle="1" w:styleId="50">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51">
    <w:name w:val="正文首行缩进两字符"/>
    <w:basedOn w:val="1"/>
    <w:qFormat/>
    <w:uiPriority w:val="0"/>
    <w:pPr>
      <w:spacing w:line="360" w:lineRule="auto"/>
      <w:ind w:firstLine="200" w:firstLineChars="200"/>
      <w:jc w:val="left"/>
    </w:pPr>
    <w:rPr>
      <w:rFonts w:eastAsia="仿宋"/>
      <w:sz w:val="24"/>
    </w:rPr>
  </w:style>
  <w:style w:type="character" w:customStyle="1" w:styleId="52">
    <w:name w:val="批注文字 Char1"/>
    <w:basedOn w:val="34"/>
    <w:qFormat/>
    <w:uiPriority w:val="0"/>
    <w:rPr>
      <w:rFonts w:ascii="Times New Roman" w:hAnsi="Times New Roman" w:eastAsia="宋体" w:cs="Times New Roman"/>
      <w:szCs w:val="24"/>
    </w:rPr>
  </w:style>
  <w:style w:type="paragraph" w:customStyle="1" w:styleId="53">
    <w:name w:val="List Paragraph"/>
    <w:basedOn w:val="1"/>
    <w:link w:val="54"/>
    <w:unhideWhenUsed/>
    <w:qFormat/>
    <w:uiPriority w:val="99"/>
    <w:pPr>
      <w:ind w:firstLine="420" w:firstLineChars="200"/>
    </w:pPr>
  </w:style>
  <w:style w:type="character" w:customStyle="1" w:styleId="54">
    <w:name w:val="列出段落 Char"/>
    <w:link w:val="53"/>
    <w:qFormat/>
    <w:locked/>
    <w:uiPriority w:val="34"/>
    <w:rPr>
      <w:rFonts w:ascii="Calibri" w:hAnsi="Calibri"/>
      <w:kern w:val="2"/>
      <w:sz w:val="21"/>
      <w:szCs w:val="24"/>
    </w:rPr>
  </w:style>
  <w:style w:type="paragraph" w:customStyle="1" w:styleId="55">
    <w:name w:val="标题 5（有编号）（绿盟科技）"/>
    <w:basedOn w:val="1"/>
    <w:next w:val="5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5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57">
    <w:name w:val="修订1"/>
    <w:hidden/>
    <w:semiHidden/>
    <w:qFormat/>
    <w:uiPriority w:val="99"/>
    <w:rPr>
      <w:rFonts w:ascii="Calibri" w:hAnsi="Calibri" w:eastAsia="宋体" w:cs="Times New Roman"/>
      <w:kern w:val="2"/>
      <w:sz w:val="21"/>
      <w:szCs w:val="24"/>
      <w:lang w:val="en-US" w:eastAsia="zh-CN" w:bidi="ar-SA"/>
    </w:rPr>
  </w:style>
  <w:style w:type="paragraph" w:customStyle="1" w:styleId="58">
    <w:name w:val="修订2"/>
    <w:hidden/>
    <w:semiHidden/>
    <w:qFormat/>
    <w:uiPriority w:val="99"/>
    <w:rPr>
      <w:rFonts w:ascii="Calibri" w:hAnsi="Calibri" w:eastAsia="宋体" w:cs="Times New Roman"/>
      <w:kern w:val="2"/>
      <w:sz w:val="21"/>
      <w:szCs w:val="24"/>
      <w:lang w:val="en-US" w:eastAsia="zh-CN" w:bidi="ar-SA"/>
    </w:rPr>
  </w:style>
  <w:style w:type="paragraph" w:customStyle="1" w:styleId="59">
    <w:name w:val="修订3"/>
    <w:hidden/>
    <w:semiHidden/>
    <w:qFormat/>
    <w:uiPriority w:val="99"/>
    <w:rPr>
      <w:rFonts w:ascii="Calibri" w:hAnsi="Calibri" w:eastAsia="宋体" w:cs="Times New Roman"/>
      <w:kern w:val="2"/>
      <w:sz w:val="21"/>
      <w:szCs w:val="24"/>
      <w:lang w:val="en-US" w:eastAsia="zh-CN" w:bidi="ar-SA"/>
    </w:rPr>
  </w:style>
  <w:style w:type="paragraph" w:customStyle="1" w:styleId="60">
    <w:name w:val="列出段落1"/>
    <w:basedOn w:val="1"/>
    <w:qFormat/>
    <w:uiPriority w:val="0"/>
    <w:pPr>
      <w:widowControl/>
      <w:spacing w:after="0" w:line="240" w:lineRule="auto"/>
      <w:ind w:firstLine="420" w:firstLineChars="200"/>
      <w:jc w:val="left"/>
    </w:pPr>
    <w:rPr>
      <w:rFonts w:hAnsi="宋体" w:cs="宋体" w:asciiTheme="minorHAnsi" w:eastAsiaTheme="minorEastAsia"/>
      <w:sz w:val="24"/>
      <w:szCs w:val="22"/>
    </w:rPr>
  </w:style>
  <w:style w:type="paragraph" w:customStyle="1" w:styleId="61">
    <w:name w:val="_正文段落"/>
    <w:basedOn w:val="1"/>
    <w:qFormat/>
    <w:uiPriority w:val="0"/>
    <w:pPr>
      <w:spacing w:after="0" w:line="360" w:lineRule="auto"/>
    </w:pPr>
    <w:rPr>
      <w:rFonts w:ascii="Times New Roman" w:hAnsi="Times New Roman" w:eastAsia="仿宋_GB2312"/>
      <w:sz w:val="28"/>
    </w:rPr>
  </w:style>
  <w:style w:type="paragraph" w:customStyle="1" w:styleId="6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3">
    <w:name w:val="正文文本 Char"/>
    <w:basedOn w:val="34"/>
    <w:link w:val="12"/>
    <w:qFormat/>
    <w:uiPriority w:val="0"/>
    <w:rPr>
      <w:rFonts w:ascii="Calibri" w:hAnsi="Calibri"/>
      <w:kern w:val="2"/>
      <w:sz w:val="21"/>
      <w:szCs w:val="24"/>
    </w:rPr>
  </w:style>
  <w:style w:type="table" w:customStyle="1" w:styleId="64">
    <w:name w:val="网格型1"/>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
    <w:name w:val="Normal"/>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66">
    <w:name w:val="表格"/>
    <w:basedOn w:val="1"/>
    <w:qFormat/>
    <w:uiPriority w:val="0"/>
    <w:pPr>
      <w:spacing w:line="400" w:lineRule="exact"/>
    </w:pPr>
    <w:rPr>
      <w:sz w:val="24"/>
    </w:rPr>
  </w:style>
  <w:style w:type="paragraph" w:customStyle="1" w:styleId="67">
    <w:name w:val="列出段落"/>
    <w:basedOn w:val="1"/>
    <w:qFormat/>
    <w:uiPriority w:val="0"/>
    <w:pPr>
      <w:ind w:firstLine="420" w:firstLineChars="200"/>
    </w:p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WPSOffice手动目录 2"/>
    <w:qFormat/>
    <w:uiPriority w:val="0"/>
    <w:pPr>
      <w:ind w:leftChars="200"/>
    </w:pPr>
    <w:rPr>
      <w:rFonts w:ascii="Times New Roman" w:hAnsi="Times New Roman" w:eastAsia="宋体" w:cs="Times New Roman"/>
      <w:sz w:val="20"/>
      <w:szCs w:val="20"/>
    </w:rPr>
  </w:style>
  <w:style w:type="paragraph" w:customStyle="1" w:styleId="70">
    <w:name w:val="_Style 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64</Pages>
  <Words>14498</Words>
  <Characters>15523</Characters>
  <Lines>299</Lines>
  <Paragraphs>84</Paragraphs>
  <TotalTime>0</TotalTime>
  <ScaleCrop>false</ScaleCrop>
  <LinksUpToDate>false</LinksUpToDate>
  <CharactersWithSpaces>16318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2017-12-15T17:14:00Z</dcterms:created>
  <dc:creator>s</dc:creator>
  <cp:lastModifiedBy>&amp;</cp:lastModifiedBy>
  <dcterms:modified xsi:type="dcterms:W3CDTF">2025-06-25T06:49:04Z</dcterms:modified>
  <dc:title>招标编号：xxxx [xxxx] 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BD1784DFAA824EF19E2FC50EBAFDB1F4_13</vt:lpwstr>
  </property>
  <property fmtid="{D5CDD505-2E9C-101B-9397-08002B2CF9AE}" pid="4" name="KSOTemplateDocerSaveRecord">
    <vt:lpwstr>eyJoZGlkIjoiOGUyOWE5M2JhMjcwZGVkMWE3MmUyMDY4ODc0YzdjYWUiLCJ1c2VySWQiOiI3NjE2NjE2NTUifQ==</vt:lpwstr>
  </property>
</Properties>
</file>