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78ED87">
      <w:pPr>
        <w:pStyle w:val="5"/>
        <w:pageBreakBefore w:val="0"/>
        <w:kinsoku/>
        <w:wordWrap/>
        <w:overflowPunct/>
        <w:topLinePunct w:val="0"/>
        <w:autoSpaceDE/>
        <w:autoSpaceDN/>
        <w:bidi w:val="0"/>
        <w:adjustRightInd/>
        <w:snapToGrid/>
        <w:spacing w:before="0" w:after="0" w:line="400" w:lineRule="exact"/>
        <w:jc w:val="center"/>
        <w:rPr>
          <w:rFonts w:hint="eastAsia" w:ascii="宋体" w:hAnsi="宋体" w:cs="宋体"/>
          <w:color w:val="000000"/>
          <w:sz w:val="36"/>
          <w:szCs w:val="36"/>
        </w:rPr>
      </w:pPr>
      <w:bookmarkStart w:id="0" w:name="_Toc13691"/>
      <w:bookmarkStart w:id="1" w:name="_Toc24541"/>
      <w:bookmarkStart w:id="2" w:name="_Toc17663"/>
      <w:bookmarkStart w:id="3" w:name="_Toc22364"/>
      <w:bookmarkStart w:id="4" w:name="_Toc217446094"/>
      <w:bookmarkStart w:id="5" w:name="_Toc31903"/>
      <w:bookmarkStart w:id="6" w:name="_Toc11445"/>
      <w:r>
        <w:rPr>
          <w:rFonts w:hint="eastAsia" w:ascii="宋体" w:hAnsi="宋体" w:cs="宋体"/>
          <w:color w:val="000000"/>
          <w:sz w:val="36"/>
          <w:szCs w:val="36"/>
        </w:rPr>
        <w:t>富顺县中医医院</w:t>
      </w:r>
    </w:p>
    <w:p w14:paraId="6A5D26A2">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right="0" w:firstLine="0"/>
        <w:jc w:val="center"/>
        <w:rPr>
          <w:rFonts w:hint="eastAsia" w:eastAsia="黑体" w:cs="宋体"/>
          <w:b/>
          <w:bCs/>
          <w:color w:val="000000"/>
          <w:kern w:val="2"/>
          <w:sz w:val="36"/>
          <w:szCs w:val="36"/>
          <w:lang w:val="en-US" w:eastAsia="zh-CN" w:bidi="ar-SA"/>
        </w:rPr>
      </w:pPr>
      <w:bookmarkStart w:id="7" w:name="OLE_LINK2"/>
      <w:r>
        <w:rPr>
          <w:rFonts w:hint="eastAsia" w:eastAsia="黑体" w:cs="宋体"/>
          <w:b/>
          <w:bCs/>
          <w:color w:val="000000"/>
          <w:kern w:val="2"/>
          <w:sz w:val="36"/>
          <w:szCs w:val="36"/>
          <w:lang w:val="en-US" w:eastAsia="zh-CN" w:bidi="ar-SA"/>
        </w:rPr>
        <w:t>绿化维护及各类盆栽植物租赁维护服务项</w:t>
      </w:r>
      <w:bookmarkStart w:id="8" w:name="OLE_LINK1"/>
      <w:r>
        <w:rPr>
          <w:rFonts w:hint="eastAsia" w:eastAsia="黑体" w:cs="宋体"/>
          <w:b/>
          <w:bCs/>
          <w:color w:val="000000"/>
          <w:kern w:val="2"/>
          <w:sz w:val="36"/>
          <w:szCs w:val="36"/>
          <w:lang w:val="en-US" w:eastAsia="zh-CN" w:bidi="ar-SA"/>
        </w:rPr>
        <w:t>目</w:t>
      </w:r>
      <w:bookmarkEnd w:id="7"/>
    </w:p>
    <w:p w14:paraId="0255282C">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right="0" w:firstLine="0"/>
        <w:jc w:val="center"/>
        <w:rPr>
          <w:rFonts w:hint="default" w:ascii="宋体" w:hAnsi="宋体" w:eastAsia="黑体" w:cs="宋体"/>
          <w:b/>
          <w:bCs/>
          <w:color w:val="000000"/>
          <w:kern w:val="2"/>
          <w:sz w:val="36"/>
          <w:szCs w:val="36"/>
          <w:lang w:val="en-US" w:eastAsia="zh-CN" w:bidi="ar-SA"/>
        </w:rPr>
      </w:pPr>
      <w:r>
        <w:rPr>
          <w:rFonts w:hint="eastAsia" w:eastAsia="黑体" w:cs="宋体"/>
          <w:b/>
          <w:bCs/>
          <w:color w:val="000000"/>
          <w:kern w:val="2"/>
          <w:sz w:val="36"/>
          <w:szCs w:val="36"/>
          <w:lang w:val="en-US" w:eastAsia="zh-CN" w:bidi="ar-SA"/>
        </w:rPr>
        <w:t>采购需求</w:t>
      </w:r>
    </w:p>
    <w:bookmarkEnd w:id="8"/>
    <w:p w14:paraId="018D3365">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right="0" w:firstLine="0"/>
        <w:jc w:val="center"/>
        <w:rPr>
          <w:rFonts w:hint="eastAsia" w:ascii="宋体" w:hAnsi="宋体" w:eastAsia="黑体" w:cs="宋体"/>
          <w:b/>
          <w:bCs/>
          <w:color w:val="000000"/>
          <w:kern w:val="2"/>
          <w:sz w:val="36"/>
          <w:szCs w:val="36"/>
          <w:lang w:val="en-US" w:eastAsia="zh-CN" w:bidi="ar-SA"/>
        </w:rPr>
      </w:pPr>
    </w:p>
    <w:p w14:paraId="35233172">
      <w:pPr>
        <w:pStyle w:val="3"/>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640" w:firstLineChars="200"/>
        <w:textAlignment w:val="auto"/>
        <w:rPr>
          <w:rFonts w:hint="eastAsia" w:ascii="黑体" w:hAnsi="黑体" w:eastAsia="黑体" w:cs="黑体"/>
          <w:b w:val="0"/>
          <w:bCs w:val="0"/>
          <w:color w:val="auto"/>
          <w:kern w:val="0"/>
          <w:sz w:val="32"/>
          <w:szCs w:val="32"/>
          <w:lang w:val="en-US" w:eastAsia="zh-CN" w:bidi="ar-SA"/>
        </w:rPr>
      </w:pPr>
      <w:r>
        <w:rPr>
          <w:rFonts w:hint="eastAsia" w:ascii="黑体" w:hAnsi="黑体" w:eastAsia="黑体" w:cs="黑体"/>
          <w:b w:val="0"/>
          <w:bCs w:val="0"/>
          <w:color w:val="auto"/>
          <w:kern w:val="0"/>
          <w:sz w:val="32"/>
          <w:szCs w:val="32"/>
          <w:lang w:val="en-US" w:eastAsia="zh-CN" w:bidi="ar-SA"/>
        </w:rPr>
        <w:t>一、项目概述</w:t>
      </w:r>
      <w:bookmarkEnd w:id="0"/>
      <w:bookmarkEnd w:id="1"/>
      <w:bookmarkEnd w:id="2"/>
      <w:bookmarkEnd w:id="3"/>
      <w:bookmarkEnd w:id="4"/>
      <w:bookmarkEnd w:id="5"/>
      <w:bookmarkEnd w:id="6"/>
    </w:p>
    <w:p w14:paraId="61A0C9DD">
      <w:pPr>
        <w:pStyle w:val="3"/>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val="0"/>
          <w:color w:val="auto"/>
          <w:kern w:val="0"/>
          <w:sz w:val="24"/>
          <w:szCs w:val="24"/>
          <w:lang w:val="en-US" w:eastAsia="zh-CN" w:bidi="ar-SA"/>
        </w:rPr>
      </w:pPr>
      <w:bookmarkStart w:id="9" w:name="_Toc217446095"/>
      <w:r>
        <w:rPr>
          <w:rFonts w:hint="eastAsia" w:ascii="宋体" w:hAnsi="宋体" w:eastAsia="宋体" w:cs="宋体"/>
          <w:b w:val="0"/>
          <w:bCs w:val="0"/>
          <w:color w:val="auto"/>
          <w:kern w:val="0"/>
          <w:sz w:val="24"/>
          <w:szCs w:val="24"/>
          <w:lang w:val="en-US" w:eastAsia="zh-CN" w:bidi="ar-SA"/>
        </w:rPr>
        <w:t>本项目为富顺县中医医院</w:t>
      </w:r>
      <w:r>
        <w:rPr>
          <w:rFonts w:hint="eastAsia" w:ascii="宋体" w:hAnsi="宋体" w:cs="宋体"/>
          <w:b w:val="0"/>
          <w:bCs w:val="0"/>
          <w:color w:val="auto"/>
          <w:kern w:val="0"/>
          <w:sz w:val="24"/>
          <w:szCs w:val="24"/>
          <w:lang w:val="en-US" w:eastAsia="zh-CN" w:bidi="ar-SA"/>
        </w:rPr>
        <w:t>绿化维护及各类盆栽植物租赁维护服务项</w:t>
      </w:r>
      <w:r>
        <w:rPr>
          <w:rFonts w:hint="eastAsia" w:ascii="宋体" w:hAnsi="宋体" w:eastAsia="宋体" w:cs="宋体"/>
          <w:b w:val="0"/>
          <w:bCs w:val="0"/>
          <w:color w:val="auto"/>
          <w:kern w:val="0"/>
          <w:sz w:val="24"/>
          <w:szCs w:val="24"/>
          <w:lang w:val="en-US" w:eastAsia="zh-CN" w:bidi="ar-SA"/>
        </w:rPr>
        <w:t>， 主要工作内容下：</w:t>
      </w:r>
    </w:p>
    <w:bookmarkEnd w:id="9"/>
    <w:p w14:paraId="0BD735FE">
      <w:pPr>
        <w:pStyle w:val="2"/>
        <w:keepNext w:val="0"/>
        <w:keepLines w:val="0"/>
        <w:pageBreakBefore w:val="0"/>
        <w:widowControl w:val="0"/>
        <w:kinsoku/>
        <w:wordWrap/>
        <w:overflowPunct/>
        <w:topLinePunct w:val="0"/>
        <w:autoSpaceDE/>
        <w:autoSpaceDN/>
        <w:bidi w:val="0"/>
        <w:adjustRightInd/>
        <w:snapToGrid/>
        <w:spacing w:after="0" w:line="400" w:lineRule="exact"/>
        <w:ind w:right="0" w:firstLine="480" w:firstLineChars="200"/>
        <w:textAlignment w:val="auto"/>
        <w:rPr>
          <w:rFonts w:hint="default" w:ascii="宋体" w:hAnsi="宋体" w:eastAsia="宋体" w:cs="宋体"/>
          <w:color w:val="auto"/>
          <w:sz w:val="24"/>
          <w:szCs w:val="24"/>
          <w:highlight w:val="none"/>
          <w:shd w:val="clear" w:color="auto" w:fill="auto"/>
          <w:lang w:val="en-US" w:eastAsia="zh-CN"/>
        </w:rPr>
      </w:pPr>
      <w:r>
        <w:rPr>
          <w:rFonts w:hint="eastAsia" w:ascii="宋体" w:hAnsi="宋体" w:eastAsia="宋体" w:cs="宋体"/>
          <w:color w:val="auto"/>
          <w:sz w:val="24"/>
          <w:szCs w:val="24"/>
          <w:highlight w:val="none"/>
          <w:shd w:val="clear" w:color="auto" w:fill="auto"/>
          <w:lang w:val="en-US" w:eastAsia="zh-CN"/>
        </w:rPr>
        <w:t>1.</w:t>
      </w:r>
      <w:r>
        <w:rPr>
          <w:rFonts w:hint="eastAsia" w:ascii="宋体" w:hAnsi="宋体" w:eastAsia="宋体" w:cs="宋体"/>
          <w:color w:val="auto"/>
          <w:sz w:val="24"/>
          <w:szCs w:val="24"/>
          <w:highlight w:val="none"/>
          <w:shd w:val="clear" w:color="auto" w:fill="auto"/>
        </w:rPr>
        <w:t>服务区域：</w:t>
      </w:r>
      <w:r>
        <w:rPr>
          <w:rFonts w:hint="eastAsia" w:ascii="宋体" w:hAnsi="宋体" w:eastAsia="宋体" w:cs="宋体"/>
          <w:color w:val="auto"/>
          <w:sz w:val="24"/>
          <w:szCs w:val="24"/>
          <w:highlight w:val="none"/>
          <w:shd w:val="clear" w:color="auto" w:fill="auto"/>
          <w:lang w:val="en-US" w:eastAsia="zh-CN"/>
        </w:rPr>
        <w:t>富顺县中医医院同心院区、富达路院区。</w:t>
      </w:r>
    </w:p>
    <w:p w14:paraId="4393F80E">
      <w:pPr>
        <w:pStyle w:val="2"/>
        <w:keepNext w:val="0"/>
        <w:keepLines w:val="0"/>
        <w:pageBreakBefore w:val="0"/>
        <w:widowControl w:val="0"/>
        <w:kinsoku/>
        <w:wordWrap/>
        <w:overflowPunct/>
        <w:topLinePunct w:val="0"/>
        <w:autoSpaceDE/>
        <w:autoSpaceDN/>
        <w:bidi w:val="0"/>
        <w:adjustRightInd/>
        <w:snapToGrid/>
        <w:spacing w:after="0" w:line="400" w:lineRule="exact"/>
        <w:ind w:right="0" w:firstLine="480" w:firstLineChars="200"/>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lang w:val="en-US" w:eastAsia="zh-CN"/>
        </w:rPr>
        <w:t>2.</w:t>
      </w:r>
      <w:r>
        <w:rPr>
          <w:rFonts w:hint="eastAsia" w:ascii="宋体" w:hAnsi="宋体" w:eastAsia="宋体" w:cs="宋体"/>
          <w:color w:val="auto"/>
          <w:sz w:val="24"/>
          <w:szCs w:val="24"/>
          <w:highlight w:val="none"/>
          <w:shd w:val="clear" w:color="auto" w:fill="auto"/>
        </w:rPr>
        <w:t>约定服务地址以外的区域，不在服务约定责任内。</w:t>
      </w:r>
    </w:p>
    <w:p w14:paraId="7B94D321">
      <w:pPr>
        <w:pStyle w:val="2"/>
        <w:keepNext w:val="0"/>
        <w:keepLines w:val="0"/>
        <w:pageBreakBefore w:val="0"/>
        <w:widowControl w:val="0"/>
        <w:kinsoku/>
        <w:wordWrap/>
        <w:overflowPunct/>
        <w:topLinePunct w:val="0"/>
        <w:autoSpaceDE/>
        <w:autoSpaceDN/>
        <w:bidi w:val="0"/>
        <w:adjustRightInd/>
        <w:snapToGrid/>
        <w:spacing w:after="0" w:line="400" w:lineRule="exact"/>
        <w:ind w:right="0" w:firstLine="480" w:firstLineChars="200"/>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lang w:val="en-US" w:eastAsia="zh-CN"/>
        </w:rPr>
        <w:t>3.日常对富顺县中医医院同心院区、富达路院区定期进行绿化维护和盆栽租赁维护</w:t>
      </w:r>
      <w:r>
        <w:rPr>
          <w:rFonts w:hint="eastAsia" w:ascii="宋体" w:hAnsi="宋体" w:eastAsia="宋体" w:cs="宋体"/>
          <w:color w:val="auto"/>
          <w:sz w:val="24"/>
          <w:szCs w:val="24"/>
          <w:highlight w:val="none"/>
          <w:shd w:val="clear" w:color="auto" w:fill="auto"/>
        </w:rPr>
        <w:t>。</w:t>
      </w:r>
    </w:p>
    <w:p w14:paraId="356AE323">
      <w:pPr>
        <w:pStyle w:val="2"/>
        <w:keepNext w:val="0"/>
        <w:keepLines w:val="0"/>
        <w:pageBreakBefore w:val="0"/>
        <w:widowControl w:val="0"/>
        <w:kinsoku/>
        <w:wordWrap/>
        <w:overflowPunct/>
        <w:topLinePunct w:val="0"/>
        <w:autoSpaceDE/>
        <w:autoSpaceDN/>
        <w:bidi w:val="0"/>
        <w:adjustRightInd/>
        <w:snapToGrid/>
        <w:spacing w:after="0" w:line="400" w:lineRule="exact"/>
        <w:ind w:right="0" w:firstLine="562" w:firstLineChars="200"/>
        <w:textAlignment w:val="auto"/>
        <w:rPr>
          <w:rFonts w:hint="eastAsia" w:ascii="宋体" w:hAnsi="宋体" w:eastAsia="宋体" w:cs="宋体"/>
          <w:b/>
          <w:color w:val="auto"/>
          <w:kern w:val="2"/>
          <w:sz w:val="28"/>
          <w:szCs w:val="28"/>
          <w:highlight w:val="none"/>
          <w:shd w:val="clear" w:color="auto" w:fill="auto"/>
          <w:lang w:val="en-US" w:eastAsia="zh-CN" w:bidi="ar-SA"/>
        </w:rPr>
      </w:pPr>
      <w:r>
        <w:rPr>
          <w:rFonts w:hint="eastAsia" w:ascii="宋体" w:hAnsi="宋体" w:eastAsia="宋体" w:cs="宋体"/>
          <w:b/>
          <w:color w:val="auto"/>
          <w:kern w:val="2"/>
          <w:sz w:val="28"/>
          <w:szCs w:val="28"/>
          <w:highlight w:val="none"/>
          <w:shd w:val="clear" w:color="auto" w:fill="auto"/>
          <w:lang w:val="en-US" w:eastAsia="zh-CN" w:bidi="ar-SA"/>
        </w:rPr>
        <w:t>二、服务时间及地点</w:t>
      </w:r>
    </w:p>
    <w:p w14:paraId="1B69AC21">
      <w:pPr>
        <w:pStyle w:val="2"/>
        <w:keepNext w:val="0"/>
        <w:keepLines w:val="0"/>
        <w:pageBreakBefore w:val="0"/>
        <w:widowControl w:val="0"/>
        <w:kinsoku/>
        <w:wordWrap/>
        <w:overflowPunct/>
        <w:topLinePunct w:val="0"/>
        <w:autoSpaceDE/>
        <w:autoSpaceDN/>
        <w:bidi w:val="0"/>
        <w:adjustRightInd/>
        <w:snapToGrid/>
        <w:spacing w:after="0" w:line="400" w:lineRule="exact"/>
        <w:ind w:right="0" w:firstLine="480" w:firstLineChars="200"/>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1</w:t>
      </w:r>
      <w:r>
        <w:rPr>
          <w:rFonts w:hint="eastAsia" w:ascii="宋体" w:hAnsi="宋体" w:eastAsia="宋体" w:cs="宋体"/>
          <w:color w:val="auto"/>
          <w:sz w:val="24"/>
          <w:szCs w:val="24"/>
          <w:highlight w:val="none"/>
          <w:shd w:val="clear" w:color="auto" w:fill="auto"/>
          <w:lang w:eastAsia="zh-CN"/>
        </w:rPr>
        <w:t>.</w:t>
      </w:r>
      <w:r>
        <w:rPr>
          <w:rFonts w:hint="eastAsia" w:ascii="宋体" w:hAnsi="宋体" w:eastAsia="宋体" w:cs="宋体"/>
          <w:color w:val="auto"/>
          <w:sz w:val="24"/>
          <w:szCs w:val="24"/>
          <w:highlight w:val="none"/>
          <w:shd w:val="clear" w:color="auto" w:fill="auto"/>
        </w:rPr>
        <w:t>服务期限：一年。</w:t>
      </w:r>
    </w:p>
    <w:p w14:paraId="78735DEF">
      <w:pPr>
        <w:pStyle w:val="2"/>
        <w:keepNext w:val="0"/>
        <w:keepLines w:val="0"/>
        <w:pageBreakBefore w:val="0"/>
        <w:widowControl w:val="0"/>
        <w:kinsoku/>
        <w:wordWrap/>
        <w:overflowPunct/>
        <w:topLinePunct w:val="0"/>
        <w:autoSpaceDE/>
        <w:autoSpaceDN/>
        <w:bidi w:val="0"/>
        <w:adjustRightInd/>
        <w:snapToGrid/>
        <w:spacing w:after="0" w:line="400" w:lineRule="exact"/>
        <w:ind w:right="0" w:firstLine="480" w:firstLineChars="200"/>
        <w:textAlignment w:val="auto"/>
        <w:rPr>
          <w:rFonts w:hint="eastAsia" w:ascii="宋体" w:hAnsi="宋体" w:eastAsia="宋体" w:cs="宋体"/>
          <w:color w:val="auto"/>
          <w:sz w:val="24"/>
          <w:szCs w:val="24"/>
          <w:highlight w:val="none"/>
          <w:shd w:val="clear" w:color="auto" w:fill="auto"/>
          <w:lang w:val="en-US" w:eastAsia="zh-CN"/>
        </w:rPr>
      </w:pPr>
      <w:r>
        <w:rPr>
          <w:rFonts w:hint="eastAsia" w:ascii="宋体" w:hAnsi="宋体" w:eastAsia="宋体" w:cs="宋体"/>
          <w:color w:val="auto"/>
          <w:sz w:val="24"/>
          <w:szCs w:val="24"/>
          <w:highlight w:val="none"/>
          <w:shd w:val="clear" w:color="auto" w:fill="auto"/>
        </w:rPr>
        <w:t>2</w:t>
      </w:r>
      <w:r>
        <w:rPr>
          <w:rFonts w:hint="eastAsia" w:ascii="宋体" w:hAnsi="宋体" w:eastAsia="宋体" w:cs="宋体"/>
          <w:color w:val="auto"/>
          <w:sz w:val="24"/>
          <w:szCs w:val="24"/>
          <w:highlight w:val="none"/>
          <w:shd w:val="clear" w:color="auto" w:fill="auto"/>
          <w:lang w:eastAsia="zh-CN"/>
        </w:rPr>
        <w:t>.</w:t>
      </w:r>
      <w:r>
        <w:rPr>
          <w:rFonts w:hint="eastAsia" w:ascii="宋体" w:hAnsi="宋体" w:eastAsia="宋体" w:cs="宋体"/>
          <w:color w:val="auto"/>
          <w:sz w:val="24"/>
          <w:szCs w:val="24"/>
          <w:highlight w:val="none"/>
          <w:shd w:val="clear" w:color="auto" w:fill="auto"/>
        </w:rPr>
        <w:t>服务响应时间：</w:t>
      </w:r>
      <w:r>
        <w:rPr>
          <w:rFonts w:hint="eastAsia" w:ascii="宋体" w:hAnsi="宋体" w:eastAsia="宋体" w:cs="宋体"/>
          <w:color w:val="auto"/>
          <w:sz w:val="24"/>
          <w:szCs w:val="24"/>
          <w:highlight w:val="none"/>
          <w:shd w:val="clear" w:color="auto" w:fill="auto"/>
          <w:lang w:val="en-US" w:eastAsia="zh-CN"/>
        </w:rPr>
        <w:t>绿化植物修剪包含医院所有大小型绿色植物；（含：同心院区、富达路院区乔木每年修剪整型至少一次（根据树的长势和品种特性合理安排时间），灌木和球形类植物，每年修剪整型至少3次以上（根据品种和树苗长势合理安排时间），草坪每年修剪至少3次以上（根据苗木长势合理安排时间），其他未列明的植物按照采购人需求及时进行修剪。）绿植花草施肥保证至少每年二次以上，在春秋季节。</w:t>
      </w:r>
    </w:p>
    <w:p w14:paraId="722B96C7">
      <w:pPr>
        <w:pStyle w:val="2"/>
        <w:keepNext w:val="0"/>
        <w:keepLines w:val="0"/>
        <w:pageBreakBefore w:val="0"/>
        <w:widowControl w:val="0"/>
        <w:kinsoku/>
        <w:wordWrap/>
        <w:overflowPunct/>
        <w:topLinePunct w:val="0"/>
        <w:autoSpaceDE/>
        <w:autoSpaceDN/>
        <w:bidi w:val="0"/>
        <w:adjustRightInd/>
        <w:snapToGrid/>
        <w:spacing w:after="0" w:line="400" w:lineRule="exact"/>
        <w:ind w:right="0" w:firstLine="480" w:firstLineChars="200"/>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3</w:t>
      </w:r>
      <w:r>
        <w:rPr>
          <w:rFonts w:hint="eastAsia" w:ascii="宋体" w:hAnsi="宋体" w:eastAsia="宋体" w:cs="宋体"/>
          <w:color w:val="auto"/>
          <w:sz w:val="24"/>
          <w:szCs w:val="24"/>
          <w:highlight w:val="none"/>
          <w:shd w:val="clear" w:color="auto" w:fill="auto"/>
          <w:lang w:eastAsia="zh-CN"/>
        </w:rPr>
        <w:t>.</w:t>
      </w:r>
      <w:r>
        <w:rPr>
          <w:rFonts w:hint="eastAsia" w:ascii="宋体" w:hAnsi="宋体" w:eastAsia="宋体" w:cs="宋体"/>
          <w:color w:val="auto"/>
          <w:sz w:val="24"/>
          <w:szCs w:val="24"/>
          <w:highlight w:val="none"/>
          <w:shd w:val="clear" w:color="auto" w:fill="auto"/>
        </w:rPr>
        <w:t>服务响应地点：甲方指定地点。</w:t>
      </w:r>
    </w:p>
    <w:p w14:paraId="230F2F39">
      <w:pPr>
        <w:pStyle w:val="2"/>
        <w:keepNext w:val="0"/>
        <w:keepLines w:val="0"/>
        <w:pageBreakBefore w:val="0"/>
        <w:widowControl w:val="0"/>
        <w:kinsoku/>
        <w:wordWrap/>
        <w:overflowPunct/>
        <w:topLinePunct w:val="0"/>
        <w:autoSpaceDE/>
        <w:autoSpaceDN/>
        <w:bidi w:val="0"/>
        <w:adjustRightInd/>
        <w:snapToGrid/>
        <w:spacing w:after="0" w:line="400" w:lineRule="exact"/>
        <w:ind w:right="0" w:firstLine="562" w:firstLineChars="200"/>
        <w:textAlignment w:val="auto"/>
        <w:rPr>
          <w:rFonts w:hint="eastAsia" w:ascii="宋体" w:hAnsi="宋体" w:eastAsia="宋体" w:cs="宋体"/>
          <w:b/>
          <w:color w:val="auto"/>
          <w:kern w:val="2"/>
          <w:sz w:val="28"/>
          <w:szCs w:val="28"/>
          <w:highlight w:val="none"/>
          <w:shd w:val="clear" w:color="auto" w:fill="auto"/>
          <w:lang w:val="en-US" w:eastAsia="zh-CN" w:bidi="ar-SA"/>
        </w:rPr>
      </w:pPr>
      <w:r>
        <w:rPr>
          <w:rFonts w:hint="eastAsia" w:ascii="宋体" w:hAnsi="宋体" w:eastAsia="宋体" w:cs="宋体"/>
          <w:b/>
          <w:color w:val="auto"/>
          <w:kern w:val="2"/>
          <w:sz w:val="28"/>
          <w:szCs w:val="28"/>
          <w:highlight w:val="none"/>
          <w:shd w:val="clear" w:color="auto" w:fill="auto"/>
          <w:lang w:val="en-US" w:eastAsia="zh-CN" w:bidi="ar-SA"/>
        </w:rPr>
        <w:t>三、服务技术要求</w:t>
      </w:r>
    </w:p>
    <w:p w14:paraId="135AA17D">
      <w:pPr>
        <w:pStyle w:val="2"/>
        <w:keepNext w:val="0"/>
        <w:keepLines w:val="0"/>
        <w:pageBreakBefore w:val="0"/>
        <w:widowControl w:val="0"/>
        <w:kinsoku/>
        <w:wordWrap/>
        <w:overflowPunct/>
        <w:topLinePunct w:val="0"/>
        <w:autoSpaceDE/>
        <w:autoSpaceDN/>
        <w:bidi w:val="0"/>
        <w:adjustRightInd/>
        <w:snapToGrid/>
        <w:spacing w:after="0" w:line="400" w:lineRule="exact"/>
        <w:ind w:right="0" w:firstLine="480" w:firstLineChars="200"/>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1.</w:t>
      </w:r>
      <w:r>
        <w:rPr>
          <w:rFonts w:hint="eastAsia" w:ascii="宋体" w:hAnsi="宋体" w:eastAsia="宋体" w:cs="宋体"/>
          <w:color w:val="auto"/>
          <w:sz w:val="24"/>
          <w:szCs w:val="24"/>
          <w:highlight w:val="none"/>
          <w:shd w:val="clear" w:color="auto" w:fill="auto"/>
          <w:lang w:eastAsia="zh-CN"/>
        </w:rPr>
        <w:t>富顺县中医医院同心院区、</w:t>
      </w:r>
      <w:r>
        <w:rPr>
          <w:rFonts w:hint="eastAsia" w:ascii="宋体" w:hAnsi="宋体" w:eastAsia="宋体" w:cs="宋体"/>
          <w:color w:val="auto"/>
          <w:sz w:val="24"/>
          <w:szCs w:val="24"/>
          <w:highlight w:val="none"/>
          <w:shd w:val="clear" w:color="auto" w:fill="auto"/>
          <w:lang w:val="en-US" w:eastAsia="zh-CN"/>
        </w:rPr>
        <w:t>富达路院区</w:t>
      </w:r>
      <w:r>
        <w:rPr>
          <w:rFonts w:hint="eastAsia" w:ascii="宋体" w:hAnsi="宋体" w:eastAsia="宋体" w:cs="宋体"/>
          <w:color w:val="auto"/>
          <w:sz w:val="24"/>
          <w:szCs w:val="24"/>
          <w:highlight w:val="none"/>
          <w:shd w:val="clear" w:color="auto" w:fill="auto"/>
        </w:rPr>
        <w:t>盆栽租赁</w:t>
      </w:r>
    </w:p>
    <w:p w14:paraId="3986E494">
      <w:pPr>
        <w:pStyle w:val="2"/>
        <w:keepNext w:val="0"/>
        <w:keepLines w:val="0"/>
        <w:pageBreakBefore w:val="0"/>
        <w:widowControl w:val="0"/>
        <w:kinsoku/>
        <w:wordWrap/>
        <w:overflowPunct/>
        <w:topLinePunct w:val="0"/>
        <w:autoSpaceDE/>
        <w:autoSpaceDN/>
        <w:bidi w:val="0"/>
        <w:adjustRightInd/>
        <w:snapToGrid/>
        <w:spacing w:after="0" w:line="400" w:lineRule="exact"/>
        <w:ind w:right="0" w:firstLine="480" w:firstLineChars="200"/>
        <w:textAlignment w:val="auto"/>
        <w:rPr>
          <w:rFonts w:hint="eastAsia" w:ascii="宋体" w:hAnsi="宋体" w:eastAsia="宋体" w:cs="宋体"/>
          <w:color w:val="auto"/>
          <w:sz w:val="24"/>
          <w:szCs w:val="24"/>
          <w:highlight w:val="none"/>
          <w:shd w:val="clear" w:color="auto" w:fill="auto"/>
          <w:lang w:eastAsia="zh-CN"/>
        </w:rPr>
      </w:pPr>
      <w:r>
        <w:rPr>
          <w:rFonts w:hint="eastAsia" w:ascii="宋体" w:hAnsi="宋体" w:eastAsia="宋体" w:cs="宋体"/>
          <w:color w:val="auto"/>
          <w:sz w:val="24"/>
          <w:szCs w:val="24"/>
          <w:highlight w:val="none"/>
          <w:shd w:val="clear" w:color="auto" w:fill="auto"/>
        </w:rPr>
        <w:t>（1）预计摆放约</w:t>
      </w:r>
      <w:r>
        <w:rPr>
          <w:rFonts w:hint="eastAsia" w:ascii="宋体" w:hAnsi="宋体" w:eastAsia="宋体" w:cs="宋体"/>
          <w:color w:val="auto"/>
          <w:sz w:val="24"/>
          <w:szCs w:val="24"/>
          <w:highlight w:val="none"/>
          <w:shd w:val="clear" w:color="auto" w:fill="auto"/>
          <w:lang w:val="en-US" w:eastAsia="zh-CN"/>
        </w:rPr>
        <w:t>90</w:t>
      </w:r>
      <w:r>
        <w:rPr>
          <w:rFonts w:hint="eastAsia" w:ascii="宋体" w:hAnsi="宋体" w:eastAsia="宋体" w:cs="宋体"/>
          <w:color w:val="auto"/>
          <w:sz w:val="24"/>
          <w:szCs w:val="24"/>
          <w:highlight w:val="none"/>
          <w:shd w:val="clear" w:color="auto" w:fill="auto"/>
        </w:rPr>
        <w:t>盆绿植，规格及品种标准以</w:t>
      </w:r>
      <w:r>
        <w:rPr>
          <w:rFonts w:hint="eastAsia" w:ascii="宋体" w:hAnsi="宋体" w:eastAsia="宋体" w:cs="宋体"/>
          <w:color w:val="auto"/>
          <w:sz w:val="24"/>
          <w:szCs w:val="24"/>
          <w:highlight w:val="none"/>
          <w:shd w:val="clear" w:color="auto" w:fill="auto"/>
          <w:lang w:eastAsia="zh-CN"/>
        </w:rPr>
        <w:t>富顺县中医</w:t>
      </w:r>
      <w:r>
        <w:rPr>
          <w:rFonts w:hint="eastAsia" w:ascii="宋体" w:hAnsi="宋体" w:eastAsia="宋体" w:cs="宋体"/>
          <w:color w:val="auto"/>
          <w:sz w:val="24"/>
          <w:szCs w:val="24"/>
          <w:highlight w:val="none"/>
          <w:shd w:val="clear" w:color="auto" w:fill="auto"/>
        </w:rPr>
        <w:t>医院盆栽租赁明细清单描述内容为准，具体摆放点位、数量、品种由采购人根据实际需要提具体需求（可增可减），双方签字确认后按实结算</w:t>
      </w:r>
      <w:r>
        <w:rPr>
          <w:rFonts w:hint="eastAsia" w:ascii="宋体" w:hAnsi="宋体" w:eastAsia="宋体" w:cs="宋体"/>
          <w:color w:val="auto"/>
          <w:sz w:val="24"/>
          <w:szCs w:val="24"/>
          <w:highlight w:val="none"/>
          <w:shd w:val="clear" w:color="auto" w:fill="auto"/>
          <w:lang w:eastAsia="zh-CN"/>
        </w:rPr>
        <w:t>；</w:t>
      </w:r>
    </w:p>
    <w:p w14:paraId="2469A4BD">
      <w:pPr>
        <w:pStyle w:val="2"/>
        <w:keepNext w:val="0"/>
        <w:keepLines w:val="0"/>
        <w:pageBreakBefore w:val="0"/>
        <w:widowControl w:val="0"/>
        <w:kinsoku/>
        <w:wordWrap/>
        <w:overflowPunct/>
        <w:topLinePunct w:val="0"/>
        <w:autoSpaceDE/>
        <w:autoSpaceDN/>
        <w:bidi w:val="0"/>
        <w:adjustRightInd/>
        <w:snapToGrid/>
        <w:spacing w:after="0" w:line="400" w:lineRule="exact"/>
        <w:ind w:right="0" w:firstLine="480" w:firstLineChars="200"/>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医院盆栽租赁标准有以下两种：</w:t>
      </w:r>
    </w:p>
    <w:p w14:paraId="32E47BA8">
      <w:pPr>
        <w:pStyle w:val="2"/>
        <w:keepNext w:val="0"/>
        <w:keepLines w:val="0"/>
        <w:pageBreakBefore w:val="0"/>
        <w:widowControl w:val="0"/>
        <w:kinsoku/>
        <w:wordWrap/>
        <w:overflowPunct/>
        <w:topLinePunct w:val="0"/>
        <w:autoSpaceDE/>
        <w:autoSpaceDN/>
        <w:bidi w:val="0"/>
        <w:adjustRightInd/>
        <w:snapToGrid/>
        <w:spacing w:after="0" w:line="400" w:lineRule="exact"/>
        <w:ind w:right="0" w:firstLine="480" w:firstLineChars="200"/>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瓷盆植物高度为1米—1.5</w:t>
      </w:r>
      <w:r>
        <w:rPr>
          <w:rFonts w:hint="eastAsia" w:ascii="宋体" w:hAnsi="宋体" w:eastAsia="宋体" w:cs="宋体"/>
          <w:color w:val="auto"/>
          <w:sz w:val="24"/>
          <w:szCs w:val="24"/>
          <w:highlight w:val="none"/>
          <w:shd w:val="clear" w:color="auto" w:fill="auto"/>
          <w:lang w:val="en-US" w:eastAsia="zh-CN"/>
        </w:rPr>
        <w:t>m</w:t>
      </w:r>
      <w:r>
        <w:rPr>
          <w:rFonts w:hint="eastAsia" w:ascii="宋体" w:hAnsi="宋体" w:eastAsia="宋体" w:cs="宋体"/>
          <w:color w:val="auto"/>
          <w:sz w:val="24"/>
          <w:szCs w:val="24"/>
          <w:highlight w:val="none"/>
          <w:shd w:val="clear" w:color="auto" w:fill="auto"/>
        </w:rPr>
        <w:t>植物，瓷盆直径为35厘米</w:t>
      </w:r>
      <w:r>
        <w:rPr>
          <w:rFonts w:hint="eastAsia" w:ascii="宋体" w:hAnsi="宋体" w:eastAsia="宋体" w:cs="宋体"/>
          <w:color w:val="auto"/>
          <w:sz w:val="24"/>
          <w:szCs w:val="24"/>
          <w:highlight w:val="none"/>
          <w:shd w:val="clear" w:color="auto" w:fill="auto"/>
          <w:lang w:val="en-US" w:eastAsia="zh-CN"/>
        </w:rPr>
        <w:t>-50</w:t>
      </w:r>
      <w:r>
        <w:rPr>
          <w:rFonts w:hint="eastAsia" w:ascii="宋体" w:hAnsi="宋体" w:eastAsia="宋体" w:cs="宋体"/>
          <w:color w:val="auto"/>
          <w:sz w:val="24"/>
          <w:szCs w:val="24"/>
          <w:highlight w:val="none"/>
          <w:shd w:val="clear" w:color="auto" w:fill="auto"/>
        </w:rPr>
        <w:t>厘米；</w:t>
      </w:r>
    </w:p>
    <w:p w14:paraId="786BB5B5">
      <w:pPr>
        <w:pStyle w:val="2"/>
        <w:keepNext w:val="0"/>
        <w:keepLines w:val="0"/>
        <w:pageBreakBefore w:val="0"/>
        <w:widowControl w:val="0"/>
        <w:kinsoku/>
        <w:wordWrap/>
        <w:overflowPunct/>
        <w:topLinePunct w:val="0"/>
        <w:autoSpaceDE/>
        <w:autoSpaceDN/>
        <w:bidi w:val="0"/>
        <w:adjustRightInd/>
        <w:snapToGrid/>
        <w:spacing w:after="0" w:line="400" w:lineRule="exact"/>
        <w:ind w:right="0" w:firstLine="480" w:firstLineChars="200"/>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瓷盆盆植物高度为</w:t>
      </w:r>
      <w:r>
        <w:rPr>
          <w:rFonts w:hint="eastAsia" w:ascii="宋体" w:hAnsi="宋体" w:eastAsia="宋体" w:cs="宋体"/>
          <w:color w:val="auto"/>
          <w:sz w:val="24"/>
          <w:szCs w:val="24"/>
          <w:highlight w:val="none"/>
          <w:shd w:val="clear" w:color="auto" w:fill="auto"/>
          <w:lang w:val="en-US" w:eastAsia="zh-CN"/>
        </w:rPr>
        <w:t>1.5</w:t>
      </w:r>
      <w:r>
        <w:rPr>
          <w:rFonts w:hint="eastAsia" w:ascii="宋体" w:hAnsi="宋体" w:eastAsia="宋体" w:cs="宋体"/>
          <w:color w:val="auto"/>
          <w:sz w:val="24"/>
          <w:szCs w:val="24"/>
          <w:highlight w:val="none"/>
          <w:shd w:val="clear" w:color="auto" w:fill="auto"/>
        </w:rPr>
        <w:t>米—</w:t>
      </w:r>
      <w:r>
        <w:rPr>
          <w:rFonts w:hint="eastAsia" w:ascii="宋体" w:hAnsi="宋体" w:eastAsia="宋体" w:cs="宋体"/>
          <w:color w:val="auto"/>
          <w:sz w:val="24"/>
          <w:szCs w:val="24"/>
          <w:highlight w:val="none"/>
          <w:shd w:val="clear" w:color="auto" w:fill="auto"/>
          <w:lang w:val="en-US" w:eastAsia="zh-CN"/>
        </w:rPr>
        <w:t>2m</w:t>
      </w:r>
      <w:r>
        <w:rPr>
          <w:rFonts w:hint="eastAsia" w:ascii="宋体" w:hAnsi="宋体" w:eastAsia="宋体" w:cs="宋体"/>
          <w:color w:val="auto"/>
          <w:sz w:val="24"/>
          <w:szCs w:val="24"/>
          <w:highlight w:val="none"/>
          <w:shd w:val="clear" w:color="auto" w:fill="auto"/>
        </w:rPr>
        <w:t>植物</w:t>
      </w:r>
      <w:r>
        <w:rPr>
          <w:rFonts w:hint="eastAsia" w:ascii="宋体" w:hAnsi="宋体" w:eastAsia="宋体" w:cs="宋体"/>
          <w:color w:val="auto"/>
          <w:sz w:val="24"/>
          <w:szCs w:val="24"/>
          <w:highlight w:val="none"/>
          <w:shd w:val="clear" w:color="auto" w:fill="auto"/>
          <w:lang w:eastAsia="zh-CN"/>
        </w:rPr>
        <w:t>以上</w:t>
      </w:r>
      <w:r>
        <w:rPr>
          <w:rFonts w:hint="eastAsia" w:ascii="宋体" w:hAnsi="宋体" w:eastAsia="宋体" w:cs="宋体"/>
          <w:color w:val="auto"/>
          <w:sz w:val="24"/>
          <w:szCs w:val="24"/>
          <w:highlight w:val="none"/>
          <w:shd w:val="clear" w:color="auto" w:fill="auto"/>
        </w:rPr>
        <w:t>，瓷盆盆直径为</w:t>
      </w:r>
      <w:r>
        <w:rPr>
          <w:rFonts w:hint="eastAsia" w:ascii="宋体" w:hAnsi="宋体" w:eastAsia="宋体" w:cs="宋体"/>
          <w:color w:val="auto"/>
          <w:sz w:val="24"/>
          <w:szCs w:val="24"/>
          <w:highlight w:val="none"/>
          <w:shd w:val="clear" w:color="auto" w:fill="auto"/>
          <w:lang w:val="en-US" w:eastAsia="zh-CN"/>
        </w:rPr>
        <w:t>50</w:t>
      </w:r>
      <w:r>
        <w:rPr>
          <w:rFonts w:hint="eastAsia" w:ascii="宋体" w:hAnsi="宋体" w:eastAsia="宋体" w:cs="宋体"/>
          <w:color w:val="auto"/>
          <w:sz w:val="24"/>
          <w:szCs w:val="24"/>
          <w:highlight w:val="none"/>
          <w:shd w:val="clear" w:color="auto" w:fill="auto"/>
        </w:rPr>
        <w:t>厘米以上。</w:t>
      </w:r>
    </w:p>
    <w:p w14:paraId="1D8EB1AF">
      <w:pPr>
        <w:pStyle w:val="2"/>
        <w:keepNext w:val="0"/>
        <w:keepLines w:val="0"/>
        <w:pageBreakBefore w:val="0"/>
        <w:widowControl w:val="0"/>
        <w:kinsoku/>
        <w:wordWrap/>
        <w:overflowPunct/>
        <w:topLinePunct w:val="0"/>
        <w:autoSpaceDE/>
        <w:autoSpaceDN/>
        <w:bidi w:val="0"/>
        <w:adjustRightInd/>
        <w:snapToGrid/>
        <w:spacing w:after="0" w:line="400" w:lineRule="exact"/>
        <w:ind w:right="0" w:firstLine="480" w:firstLineChars="200"/>
        <w:textAlignment w:val="auto"/>
        <w:rPr>
          <w:rFonts w:hint="eastAsia" w:ascii="仿宋" w:hAnsi="仿宋" w:eastAsia="仿宋" w:cs="仿宋"/>
          <w:b/>
          <w:color w:val="auto"/>
          <w:kern w:val="2"/>
          <w:sz w:val="24"/>
          <w:szCs w:val="24"/>
          <w:highlight w:val="none"/>
          <w:shd w:val="clear" w:color="auto" w:fill="auto"/>
          <w:lang w:eastAsia="zh-CN"/>
        </w:rPr>
      </w:pPr>
      <w:r>
        <w:rPr>
          <w:rFonts w:hint="eastAsia" w:ascii="宋体" w:hAnsi="宋体" w:eastAsia="宋体" w:cs="宋体"/>
          <w:color w:val="auto"/>
          <w:sz w:val="24"/>
          <w:szCs w:val="24"/>
          <w:highlight w:val="none"/>
          <w:shd w:val="clear" w:color="auto" w:fill="auto"/>
        </w:rPr>
        <w:t>（2）若医院在各节假日、大型会议或迎检等特殊情况下要求额外摆放盆栽时，应按实际增加数量×盆栽单价进行费用结算，规格及标准按照采购文件约定执行，未列入清单内的绿植品种以市场参考价为依据，由采购人</w:t>
      </w:r>
      <w:r>
        <w:rPr>
          <w:rFonts w:hint="eastAsia" w:ascii="宋体" w:hAnsi="宋体" w:eastAsia="宋体" w:cs="宋体"/>
          <w:color w:val="auto"/>
          <w:sz w:val="24"/>
          <w:szCs w:val="24"/>
          <w:highlight w:val="none"/>
          <w:shd w:val="clear" w:color="auto" w:fill="auto"/>
          <w:lang w:eastAsia="zh-CN"/>
        </w:rPr>
        <w:t>市场询价</w:t>
      </w:r>
      <w:r>
        <w:rPr>
          <w:rFonts w:hint="eastAsia" w:ascii="宋体" w:hAnsi="宋体" w:eastAsia="宋体" w:cs="宋体"/>
          <w:color w:val="auto"/>
          <w:sz w:val="24"/>
          <w:szCs w:val="24"/>
          <w:highlight w:val="none"/>
          <w:shd w:val="clear" w:color="auto" w:fill="auto"/>
        </w:rPr>
        <w:t>后双方签字确认后执行。</w:t>
      </w:r>
    </w:p>
    <w:p w14:paraId="3123F5BC">
      <w:pPr>
        <w:pStyle w:val="10"/>
        <w:pageBreakBefore w:val="0"/>
        <w:kinsoku/>
        <w:wordWrap/>
        <w:overflowPunct/>
        <w:topLinePunct w:val="0"/>
        <w:autoSpaceDE/>
        <w:autoSpaceDN/>
        <w:bidi w:val="0"/>
        <w:adjustRightInd/>
        <w:snapToGrid/>
        <w:spacing w:before="0" w:beforeAutospacing="0" w:after="0" w:afterAutospacing="0" w:line="400" w:lineRule="exact"/>
        <w:jc w:val="center"/>
        <w:rPr>
          <w:rFonts w:hint="eastAsia" w:ascii="方正小标宋简体" w:hAnsi="方正小标宋简体" w:eastAsia="方正小标宋简体" w:cs="方正小标宋简体"/>
          <w:b/>
          <w:color w:val="auto"/>
          <w:kern w:val="2"/>
          <w:sz w:val="28"/>
          <w:szCs w:val="28"/>
          <w:highlight w:val="none"/>
          <w:shd w:val="clear" w:color="auto" w:fill="auto"/>
          <w:lang w:eastAsia="zh-CN"/>
        </w:rPr>
      </w:pPr>
    </w:p>
    <w:p w14:paraId="4C5BDDBD">
      <w:pPr>
        <w:pStyle w:val="10"/>
        <w:pageBreakBefore w:val="0"/>
        <w:kinsoku/>
        <w:wordWrap/>
        <w:overflowPunct/>
        <w:topLinePunct w:val="0"/>
        <w:autoSpaceDE/>
        <w:autoSpaceDN/>
        <w:bidi w:val="0"/>
        <w:adjustRightInd/>
        <w:snapToGrid/>
        <w:spacing w:before="0" w:beforeAutospacing="0" w:after="0" w:afterAutospacing="0" w:line="400" w:lineRule="exact"/>
        <w:jc w:val="center"/>
        <w:rPr>
          <w:rFonts w:hint="eastAsia" w:ascii="方正小标宋简体" w:hAnsi="方正小标宋简体" w:eastAsia="方正小标宋简体" w:cs="方正小标宋简体"/>
          <w:b/>
          <w:color w:val="auto"/>
          <w:kern w:val="2"/>
          <w:sz w:val="28"/>
          <w:szCs w:val="28"/>
          <w:highlight w:val="none"/>
          <w:shd w:val="clear" w:color="auto" w:fill="auto"/>
          <w:lang w:eastAsia="zh-CN"/>
        </w:rPr>
      </w:pPr>
    </w:p>
    <w:p w14:paraId="01505C28">
      <w:pPr>
        <w:pStyle w:val="10"/>
        <w:pageBreakBefore w:val="0"/>
        <w:kinsoku/>
        <w:wordWrap/>
        <w:overflowPunct/>
        <w:topLinePunct w:val="0"/>
        <w:autoSpaceDE/>
        <w:autoSpaceDN/>
        <w:bidi w:val="0"/>
        <w:adjustRightInd/>
        <w:snapToGrid/>
        <w:spacing w:before="0" w:beforeAutospacing="0" w:after="0" w:afterAutospacing="0" w:line="400" w:lineRule="exact"/>
        <w:jc w:val="center"/>
        <w:rPr>
          <w:rFonts w:hint="eastAsia" w:ascii="方正小标宋简体" w:hAnsi="方正小标宋简体" w:eastAsia="方正小标宋简体" w:cs="方正小标宋简体"/>
          <w:b/>
          <w:color w:val="auto"/>
          <w:kern w:val="2"/>
          <w:sz w:val="28"/>
          <w:szCs w:val="28"/>
          <w:highlight w:val="none"/>
          <w:shd w:val="clear" w:color="auto" w:fill="auto"/>
        </w:rPr>
      </w:pPr>
      <w:r>
        <w:rPr>
          <w:rFonts w:hint="eastAsia" w:ascii="方正小标宋简体" w:hAnsi="方正小标宋简体" w:eastAsia="方正小标宋简体" w:cs="方正小标宋简体"/>
          <w:b/>
          <w:color w:val="auto"/>
          <w:kern w:val="2"/>
          <w:sz w:val="28"/>
          <w:szCs w:val="28"/>
          <w:highlight w:val="none"/>
          <w:shd w:val="clear" w:color="auto" w:fill="auto"/>
          <w:lang w:eastAsia="zh-CN"/>
        </w:rPr>
        <w:t>富顺县中医</w:t>
      </w:r>
      <w:r>
        <w:rPr>
          <w:rFonts w:hint="eastAsia" w:ascii="方正小标宋简体" w:hAnsi="方正小标宋简体" w:eastAsia="方正小标宋简体" w:cs="方正小标宋简体"/>
          <w:b/>
          <w:color w:val="auto"/>
          <w:kern w:val="2"/>
          <w:sz w:val="28"/>
          <w:szCs w:val="28"/>
          <w:highlight w:val="none"/>
          <w:shd w:val="clear" w:color="auto" w:fill="auto"/>
        </w:rPr>
        <w:t>医院盆栽租赁明细清单</w:t>
      </w:r>
    </w:p>
    <w:tbl>
      <w:tblPr>
        <w:tblStyle w:val="1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6"/>
        <w:gridCol w:w="1048"/>
        <w:gridCol w:w="2579"/>
        <w:gridCol w:w="827"/>
        <w:gridCol w:w="1313"/>
        <w:gridCol w:w="844"/>
        <w:gridCol w:w="1262"/>
      </w:tblGrid>
      <w:tr w14:paraId="5E7F3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79" w:type="pct"/>
            <w:noWrap w:val="0"/>
            <w:vAlign w:val="center"/>
          </w:tcPr>
          <w:p w14:paraId="40CC732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 w:hAnsi="仿宋" w:eastAsia="仿宋" w:cs="仿宋"/>
                <w:b/>
                <w:color w:val="auto"/>
                <w:sz w:val="24"/>
                <w:highlight w:val="none"/>
                <w:shd w:val="clear" w:color="auto" w:fill="auto"/>
              </w:rPr>
            </w:pPr>
            <w:r>
              <w:rPr>
                <w:rFonts w:hint="eastAsia" w:ascii="仿宋" w:hAnsi="仿宋" w:eastAsia="仿宋" w:cs="仿宋"/>
                <w:b/>
                <w:color w:val="auto"/>
                <w:sz w:val="24"/>
                <w:highlight w:val="none"/>
                <w:shd w:val="clear" w:color="auto" w:fill="auto"/>
              </w:rPr>
              <w:t>序号</w:t>
            </w:r>
          </w:p>
        </w:tc>
        <w:tc>
          <w:tcPr>
            <w:tcW w:w="615" w:type="pct"/>
            <w:noWrap w:val="0"/>
            <w:vAlign w:val="center"/>
          </w:tcPr>
          <w:p w14:paraId="2C65471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 w:hAnsi="仿宋" w:eastAsia="仿宋" w:cs="仿宋"/>
                <w:b/>
                <w:color w:val="auto"/>
                <w:sz w:val="24"/>
                <w:highlight w:val="none"/>
                <w:shd w:val="clear" w:color="auto" w:fill="auto"/>
              </w:rPr>
            </w:pPr>
            <w:r>
              <w:rPr>
                <w:rFonts w:hint="eastAsia" w:ascii="仿宋" w:hAnsi="仿宋" w:eastAsia="仿宋" w:cs="仿宋"/>
                <w:b/>
                <w:color w:val="auto"/>
                <w:sz w:val="24"/>
                <w:highlight w:val="none"/>
                <w:shd w:val="clear" w:color="auto" w:fill="auto"/>
              </w:rPr>
              <w:t>盆具</w:t>
            </w:r>
          </w:p>
        </w:tc>
        <w:tc>
          <w:tcPr>
            <w:tcW w:w="1513" w:type="pct"/>
            <w:noWrap w:val="0"/>
            <w:vAlign w:val="center"/>
          </w:tcPr>
          <w:p w14:paraId="2B0671A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 w:hAnsi="仿宋" w:eastAsia="仿宋" w:cs="仿宋"/>
                <w:b/>
                <w:color w:val="auto"/>
                <w:sz w:val="24"/>
                <w:highlight w:val="none"/>
                <w:shd w:val="clear" w:color="auto" w:fill="auto"/>
              </w:rPr>
            </w:pPr>
            <w:r>
              <w:rPr>
                <w:rFonts w:hint="eastAsia" w:ascii="仿宋" w:hAnsi="仿宋" w:eastAsia="仿宋" w:cs="仿宋"/>
                <w:b/>
                <w:color w:val="auto"/>
                <w:sz w:val="24"/>
                <w:highlight w:val="none"/>
                <w:shd w:val="clear" w:color="auto" w:fill="auto"/>
              </w:rPr>
              <w:t>绿植品种</w:t>
            </w:r>
          </w:p>
        </w:tc>
        <w:tc>
          <w:tcPr>
            <w:tcW w:w="485" w:type="pct"/>
            <w:noWrap w:val="0"/>
            <w:vAlign w:val="center"/>
          </w:tcPr>
          <w:p w14:paraId="734BE82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 w:hAnsi="仿宋" w:eastAsia="仿宋" w:cs="仿宋"/>
                <w:b/>
                <w:color w:val="auto"/>
                <w:sz w:val="24"/>
                <w:highlight w:val="none"/>
                <w:shd w:val="clear" w:color="auto" w:fill="auto"/>
              </w:rPr>
            </w:pPr>
            <w:r>
              <w:rPr>
                <w:rFonts w:hint="eastAsia" w:ascii="仿宋" w:hAnsi="仿宋" w:eastAsia="仿宋" w:cs="仿宋"/>
                <w:b/>
                <w:color w:val="auto"/>
                <w:sz w:val="24"/>
                <w:highlight w:val="none"/>
                <w:shd w:val="clear" w:color="auto" w:fill="auto"/>
              </w:rPr>
              <w:t>盆具尺寸</w:t>
            </w:r>
          </w:p>
        </w:tc>
        <w:tc>
          <w:tcPr>
            <w:tcW w:w="770" w:type="pct"/>
            <w:noWrap w:val="0"/>
            <w:vAlign w:val="center"/>
          </w:tcPr>
          <w:p w14:paraId="5A96DC4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 w:hAnsi="仿宋" w:eastAsia="仿宋" w:cs="仿宋"/>
                <w:b/>
                <w:color w:val="auto"/>
                <w:sz w:val="24"/>
                <w:highlight w:val="none"/>
                <w:shd w:val="clear" w:color="auto" w:fill="auto"/>
              </w:rPr>
            </w:pPr>
            <w:r>
              <w:rPr>
                <w:rFonts w:hint="eastAsia" w:ascii="仿宋" w:hAnsi="仿宋" w:eastAsia="仿宋" w:cs="仿宋"/>
                <w:b/>
                <w:color w:val="auto"/>
                <w:sz w:val="24"/>
                <w:highlight w:val="none"/>
                <w:shd w:val="clear" w:color="auto" w:fill="auto"/>
              </w:rPr>
              <w:t>高度</w:t>
            </w:r>
          </w:p>
        </w:tc>
        <w:tc>
          <w:tcPr>
            <w:tcW w:w="495" w:type="pct"/>
            <w:noWrap w:val="0"/>
            <w:vAlign w:val="center"/>
          </w:tcPr>
          <w:p w14:paraId="22B3017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 w:hAnsi="仿宋" w:eastAsia="仿宋" w:cs="仿宋"/>
                <w:b/>
                <w:color w:val="auto"/>
                <w:sz w:val="24"/>
                <w:highlight w:val="none"/>
                <w:shd w:val="clear" w:color="auto" w:fill="auto"/>
              </w:rPr>
            </w:pPr>
            <w:r>
              <w:rPr>
                <w:rFonts w:hint="eastAsia" w:ascii="仿宋" w:hAnsi="仿宋" w:eastAsia="仿宋" w:cs="仿宋"/>
                <w:b/>
                <w:color w:val="auto"/>
                <w:sz w:val="24"/>
                <w:highlight w:val="none"/>
                <w:shd w:val="clear" w:color="auto" w:fill="auto"/>
              </w:rPr>
              <w:t>预计数量</w:t>
            </w:r>
          </w:p>
        </w:tc>
        <w:tc>
          <w:tcPr>
            <w:tcW w:w="740" w:type="pct"/>
            <w:noWrap w:val="0"/>
            <w:vAlign w:val="center"/>
          </w:tcPr>
          <w:p w14:paraId="298FF0A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 w:hAnsi="仿宋" w:eastAsia="仿宋" w:cs="仿宋"/>
                <w:b/>
                <w:color w:val="auto"/>
                <w:sz w:val="24"/>
                <w:highlight w:val="none"/>
                <w:shd w:val="clear" w:color="auto" w:fill="auto"/>
              </w:rPr>
            </w:pPr>
            <w:r>
              <w:rPr>
                <w:rFonts w:hint="eastAsia" w:ascii="仿宋" w:hAnsi="仿宋" w:eastAsia="仿宋" w:cs="仿宋"/>
                <w:b/>
                <w:color w:val="auto"/>
                <w:sz w:val="24"/>
                <w:highlight w:val="none"/>
                <w:shd w:val="clear" w:color="auto" w:fill="auto"/>
              </w:rPr>
              <w:t>服务期限（月）</w:t>
            </w:r>
          </w:p>
        </w:tc>
      </w:tr>
      <w:tr w14:paraId="181CE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379" w:type="pct"/>
            <w:noWrap w:val="0"/>
            <w:vAlign w:val="center"/>
          </w:tcPr>
          <w:p w14:paraId="324E8F3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 w:hAnsi="仿宋" w:eastAsia="仿宋" w:cs="仿宋"/>
                <w:bCs/>
                <w:color w:val="auto"/>
                <w:sz w:val="24"/>
                <w:highlight w:val="none"/>
                <w:shd w:val="clear" w:color="auto" w:fill="auto"/>
              </w:rPr>
            </w:pPr>
            <w:r>
              <w:rPr>
                <w:rFonts w:hint="eastAsia" w:ascii="仿宋" w:hAnsi="仿宋" w:eastAsia="仿宋" w:cs="仿宋"/>
                <w:bCs/>
                <w:color w:val="auto"/>
                <w:sz w:val="24"/>
                <w:highlight w:val="none"/>
                <w:shd w:val="clear" w:color="auto" w:fill="auto"/>
              </w:rPr>
              <w:t>1</w:t>
            </w:r>
          </w:p>
        </w:tc>
        <w:tc>
          <w:tcPr>
            <w:tcW w:w="615" w:type="pct"/>
            <w:noWrap w:val="0"/>
            <w:vAlign w:val="center"/>
          </w:tcPr>
          <w:p w14:paraId="4397C9E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 w:hAnsi="仿宋" w:eastAsia="仿宋" w:cs="仿宋"/>
                <w:bCs/>
                <w:color w:val="auto"/>
                <w:kern w:val="2"/>
                <w:sz w:val="24"/>
                <w:szCs w:val="24"/>
                <w:highlight w:val="none"/>
                <w:shd w:val="clear" w:color="auto" w:fill="auto"/>
                <w:lang w:val="en-US" w:eastAsia="zh-CN" w:bidi="ar-SA"/>
              </w:rPr>
            </w:pPr>
            <w:r>
              <w:rPr>
                <w:rFonts w:hint="eastAsia" w:ascii="仿宋" w:hAnsi="仿宋" w:eastAsia="仿宋" w:cs="仿宋"/>
                <w:bCs/>
                <w:color w:val="auto"/>
                <w:sz w:val="24"/>
                <w:highlight w:val="none"/>
                <w:shd w:val="clear" w:color="auto" w:fill="auto"/>
                <w:lang w:eastAsia="zh-CN"/>
              </w:rPr>
              <w:t>瓷</w:t>
            </w:r>
            <w:r>
              <w:rPr>
                <w:rFonts w:hint="eastAsia" w:ascii="仿宋" w:hAnsi="仿宋" w:eastAsia="仿宋" w:cs="仿宋"/>
                <w:bCs/>
                <w:color w:val="auto"/>
                <w:sz w:val="24"/>
                <w:highlight w:val="none"/>
                <w:shd w:val="clear" w:color="auto" w:fill="auto"/>
              </w:rPr>
              <w:t>盆</w:t>
            </w:r>
          </w:p>
        </w:tc>
        <w:tc>
          <w:tcPr>
            <w:tcW w:w="1513" w:type="pct"/>
            <w:noWrap w:val="0"/>
            <w:vAlign w:val="center"/>
          </w:tcPr>
          <w:p w14:paraId="4A9C207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仿宋" w:hAnsi="仿宋" w:eastAsia="仿宋" w:cs="仿宋"/>
                <w:bCs/>
                <w:color w:val="auto"/>
                <w:kern w:val="2"/>
                <w:sz w:val="24"/>
                <w:szCs w:val="24"/>
                <w:highlight w:val="none"/>
                <w:shd w:val="clear" w:color="auto" w:fill="auto"/>
                <w:lang w:val="en-US" w:eastAsia="zh-CN" w:bidi="ar-SA"/>
              </w:rPr>
            </w:pPr>
            <w:r>
              <w:rPr>
                <w:rFonts w:hint="eastAsia" w:ascii="仿宋" w:hAnsi="仿宋" w:eastAsia="仿宋" w:cs="仿宋"/>
                <w:bCs/>
                <w:color w:val="auto"/>
                <w:sz w:val="24"/>
                <w:highlight w:val="none"/>
                <w:shd w:val="clear" w:color="auto" w:fill="auto"/>
              </w:rPr>
              <w:t>包括但不限于：</w:t>
            </w:r>
            <w:r>
              <w:rPr>
                <w:rFonts w:hint="eastAsia" w:ascii="仿宋" w:hAnsi="仿宋" w:eastAsia="仿宋" w:cs="仿宋"/>
                <w:bCs/>
                <w:color w:val="auto"/>
                <w:sz w:val="24"/>
                <w:highlight w:val="none"/>
                <w:shd w:val="clear" w:color="auto" w:fill="auto"/>
                <w:lang w:eastAsia="zh-CN"/>
              </w:rPr>
              <w:t>绿宝树、</w:t>
            </w:r>
            <w:r>
              <w:rPr>
                <w:rFonts w:hint="eastAsia" w:ascii="仿宋" w:hAnsi="仿宋" w:eastAsia="仿宋" w:cs="仿宋"/>
                <w:bCs/>
                <w:color w:val="auto"/>
                <w:sz w:val="24"/>
                <w:highlight w:val="none"/>
                <w:shd w:val="clear" w:color="auto" w:fill="auto"/>
              </w:rPr>
              <w:t>叶梅特</w:t>
            </w:r>
            <w:r>
              <w:rPr>
                <w:rFonts w:hint="eastAsia" w:ascii="仿宋" w:hAnsi="仿宋" w:eastAsia="仿宋" w:cs="仿宋"/>
                <w:bCs/>
                <w:color w:val="auto"/>
                <w:sz w:val="24"/>
                <w:highlight w:val="none"/>
                <w:shd w:val="clear" w:color="auto" w:fill="auto"/>
                <w:lang w:eastAsia="zh-CN"/>
              </w:rPr>
              <w:t>、幸福树、</w:t>
            </w:r>
            <w:r>
              <w:rPr>
                <w:rFonts w:hint="eastAsia" w:ascii="仿宋" w:hAnsi="仿宋" w:eastAsia="仿宋" w:cs="仿宋"/>
                <w:bCs/>
                <w:color w:val="auto"/>
                <w:sz w:val="24"/>
                <w:highlight w:val="none"/>
                <w:shd w:val="clear" w:color="auto" w:fill="auto"/>
              </w:rPr>
              <w:t>龙须树</w:t>
            </w:r>
            <w:r>
              <w:rPr>
                <w:rFonts w:hint="eastAsia" w:ascii="仿宋" w:hAnsi="仿宋" w:eastAsia="仿宋" w:cs="仿宋"/>
                <w:bCs/>
                <w:color w:val="auto"/>
                <w:sz w:val="24"/>
                <w:highlight w:val="none"/>
                <w:shd w:val="clear" w:color="auto" w:fill="auto"/>
                <w:lang w:eastAsia="zh-CN"/>
              </w:rPr>
              <w:t>、孔雀木</w:t>
            </w:r>
            <w:r>
              <w:rPr>
                <w:rFonts w:hint="eastAsia" w:ascii="仿宋" w:hAnsi="仿宋" w:eastAsia="仿宋" w:cs="仿宋"/>
                <w:bCs/>
                <w:color w:val="auto"/>
                <w:sz w:val="24"/>
                <w:highlight w:val="none"/>
                <w:shd w:val="clear" w:color="auto" w:fill="auto"/>
              </w:rPr>
              <w:t>等</w:t>
            </w:r>
          </w:p>
        </w:tc>
        <w:tc>
          <w:tcPr>
            <w:tcW w:w="485" w:type="pct"/>
            <w:noWrap w:val="0"/>
            <w:vAlign w:val="center"/>
          </w:tcPr>
          <w:p w14:paraId="7BD9C7B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 w:hAnsi="仿宋" w:eastAsia="仿宋" w:cs="仿宋"/>
                <w:bCs/>
                <w:color w:val="auto"/>
                <w:sz w:val="24"/>
                <w:highlight w:val="none"/>
                <w:shd w:val="clear" w:color="auto" w:fill="auto"/>
              </w:rPr>
            </w:pPr>
            <w:r>
              <w:rPr>
                <w:rFonts w:hint="eastAsia" w:ascii="仿宋" w:hAnsi="仿宋" w:eastAsia="仿宋" w:cs="仿宋"/>
                <w:bCs/>
                <w:color w:val="auto"/>
                <w:sz w:val="24"/>
                <w:highlight w:val="none"/>
                <w:shd w:val="clear" w:color="auto" w:fill="auto"/>
              </w:rPr>
              <w:t>≥35</w:t>
            </w:r>
          </w:p>
          <w:p w14:paraId="44B6D32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 w:hAnsi="仿宋" w:eastAsia="仿宋" w:cs="仿宋"/>
                <w:bCs/>
                <w:color w:val="auto"/>
                <w:kern w:val="2"/>
                <w:sz w:val="24"/>
                <w:szCs w:val="24"/>
                <w:highlight w:val="none"/>
                <w:shd w:val="clear" w:color="auto" w:fill="auto"/>
                <w:lang w:val="en-US" w:eastAsia="zh-CN" w:bidi="ar-SA"/>
              </w:rPr>
            </w:pPr>
            <w:r>
              <w:rPr>
                <w:rFonts w:hint="eastAsia" w:ascii="仿宋" w:hAnsi="仿宋" w:eastAsia="仿宋" w:cs="仿宋"/>
                <w:bCs/>
                <w:color w:val="auto"/>
                <w:sz w:val="24"/>
                <w:highlight w:val="none"/>
                <w:shd w:val="clear" w:color="auto" w:fill="auto"/>
              </w:rPr>
              <w:t>cm</w:t>
            </w:r>
          </w:p>
        </w:tc>
        <w:tc>
          <w:tcPr>
            <w:tcW w:w="770" w:type="pct"/>
            <w:noWrap w:val="0"/>
            <w:vAlign w:val="center"/>
          </w:tcPr>
          <w:p w14:paraId="7E56A1A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 w:hAnsi="仿宋" w:eastAsia="仿宋" w:cs="仿宋"/>
                <w:bCs/>
                <w:color w:val="auto"/>
                <w:kern w:val="2"/>
                <w:sz w:val="24"/>
                <w:szCs w:val="24"/>
                <w:highlight w:val="none"/>
                <w:shd w:val="clear" w:color="auto" w:fill="auto"/>
                <w:lang w:val="en-US" w:eastAsia="zh-CN" w:bidi="ar-SA"/>
              </w:rPr>
            </w:pPr>
            <w:r>
              <w:rPr>
                <w:rFonts w:hint="eastAsia" w:ascii="仿宋" w:hAnsi="仿宋" w:eastAsia="仿宋" w:cs="仿宋"/>
                <w:bCs/>
                <w:color w:val="auto"/>
                <w:sz w:val="24"/>
                <w:highlight w:val="none"/>
                <w:shd w:val="clear" w:color="auto" w:fill="auto"/>
                <w:lang w:val="en-US" w:eastAsia="zh-CN"/>
              </w:rPr>
              <w:t>1.5</w:t>
            </w:r>
            <w:r>
              <w:rPr>
                <w:rFonts w:hint="eastAsia" w:ascii="仿宋" w:hAnsi="仿宋" w:eastAsia="仿宋" w:cs="仿宋"/>
                <w:bCs/>
                <w:color w:val="auto"/>
                <w:sz w:val="24"/>
                <w:highlight w:val="none"/>
                <w:shd w:val="clear" w:color="auto" w:fill="auto"/>
              </w:rPr>
              <w:t>m</w:t>
            </w:r>
            <w:r>
              <w:rPr>
                <w:rFonts w:hint="eastAsia" w:ascii="仿宋" w:hAnsi="仿宋" w:eastAsia="仿宋" w:cs="仿宋"/>
                <w:bCs/>
                <w:color w:val="auto"/>
                <w:sz w:val="24"/>
                <w:highlight w:val="none"/>
                <w:shd w:val="clear" w:color="auto" w:fill="auto"/>
                <w:lang w:val="en-US" w:eastAsia="zh-CN"/>
              </w:rPr>
              <w:t>-2</w:t>
            </w:r>
            <w:r>
              <w:rPr>
                <w:rFonts w:hint="eastAsia" w:ascii="仿宋" w:hAnsi="仿宋" w:eastAsia="仿宋" w:cs="仿宋"/>
                <w:bCs/>
                <w:color w:val="auto"/>
                <w:sz w:val="24"/>
                <w:highlight w:val="none"/>
                <w:shd w:val="clear" w:color="auto" w:fill="auto"/>
              </w:rPr>
              <w:t>m</w:t>
            </w:r>
            <w:r>
              <w:rPr>
                <w:rFonts w:hint="eastAsia" w:ascii="仿宋" w:hAnsi="仿宋" w:eastAsia="仿宋" w:cs="仿宋"/>
                <w:bCs/>
                <w:color w:val="auto"/>
                <w:sz w:val="24"/>
                <w:highlight w:val="none"/>
                <w:shd w:val="clear" w:color="auto" w:fill="auto"/>
                <w:lang w:eastAsia="zh-CN"/>
              </w:rPr>
              <w:t>以上</w:t>
            </w:r>
          </w:p>
        </w:tc>
        <w:tc>
          <w:tcPr>
            <w:tcW w:w="495" w:type="pct"/>
            <w:noWrap w:val="0"/>
            <w:vAlign w:val="center"/>
          </w:tcPr>
          <w:p w14:paraId="5A4FC8C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 w:hAnsi="仿宋" w:eastAsia="仿宋" w:cs="仿宋"/>
                <w:bCs/>
                <w:color w:val="FF0000"/>
                <w:kern w:val="2"/>
                <w:sz w:val="24"/>
                <w:szCs w:val="24"/>
                <w:highlight w:val="none"/>
                <w:shd w:val="clear" w:color="auto" w:fill="auto"/>
                <w:lang w:val="en-US" w:eastAsia="zh-CN" w:bidi="ar-SA"/>
              </w:rPr>
            </w:pPr>
            <w:r>
              <w:rPr>
                <w:rFonts w:hint="eastAsia" w:ascii="仿宋" w:hAnsi="仿宋" w:eastAsia="仿宋" w:cs="仿宋"/>
                <w:bCs/>
                <w:color w:val="FF0000"/>
                <w:sz w:val="24"/>
                <w:highlight w:val="none"/>
                <w:shd w:val="clear" w:color="auto" w:fill="auto"/>
                <w:lang w:val="en-US" w:eastAsia="zh-CN"/>
              </w:rPr>
              <w:t>20</w:t>
            </w:r>
            <w:r>
              <w:rPr>
                <w:rFonts w:hint="eastAsia" w:ascii="仿宋" w:hAnsi="仿宋" w:eastAsia="仿宋" w:cs="仿宋"/>
                <w:bCs/>
                <w:color w:val="FF0000"/>
                <w:sz w:val="24"/>
                <w:highlight w:val="none"/>
                <w:shd w:val="clear" w:color="auto" w:fill="auto"/>
              </w:rPr>
              <w:t>盆</w:t>
            </w:r>
          </w:p>
        </w:tc>
        <w:tc>
          <w:tcPr>
            <w:tcW w:w="740" w:type="pct"/>
            <w:noWrap w:val="0"/>
            <w:vAlign w:val="center"/>
          </w:tcPr>
          <w:p w14:paraId="7E4ACBB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仿宋" w:hAnsi="仿宋" w:eastAsia="仿宋" w:cs="仿宋"/>
                <w:bCs/>
                <w:color w:val="auto"/>
                <w:kern w:val="2"/>
                <w:sz w:val="24"/>
                <w:szCs w:val="24"/>
                <w:highlight w:val="none"/>
                <w:shd w:val="clear" w:color="auto" w:fill="auto"/>
                <w:lang w:val="en-US" w:eastAsia="zh-CN" w:bidi="ar-SA"/>
              </w:rPr>
            </w:pPr>
            <w:r>
              <w:rPr>
                <w:rFonts w:hint="eastAsia" w:ascii="仿宋" w:hAnsi="仿宋" w:eastAsia="仿宋" w:cs="仿宋"/>
                <w:bCs/>
                <w:color w:val="auto"/>
                <w:sz w:val="24"/>
                <w:highlight w:val="none"/>
                <w:shd w:val="clear" w:color="auto" w:fill="auto"/>
                <w:lang w:val="en-US" w:eastAsia="zh-CN"/>
              </w:rPr>
              <w:t>12</w:t>
            </w:r>
          </w:p>
        </w:tc>
      </w:tr>
      <w:tr w14:paraId="346C0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6" w:hRule="atLeast"/>
        </w:trPr>
        <w:tc>
          <w:tcPr>
            <w:tcW w:w="379" w:type="pct"/>
            <w:noWrap w:val="0"/>
            <w:vAlign w:val="center"/>
          </w:tcPr>
          <w:p w14:paraId="08CF668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 w:hAnsi="仿宋" w:eastAsia="仿宋" w:cs="仿宋"/>
                <w:bCs/>
                <w:color w:val="auto"/>
                <w:sz w:val="24"/>
                <w:highlight w:val="none"/>
                <w:shd w:val="clear" w:color="auto" w:fill="auto"/>
                <w:lang w:val="en-US" w:eastAsia="zh-CN"/>
              </w:rPr>
            </w:pPr>
            <w:r>
              <w:rPr>
                <w:rFonts w:hint="eastAsia" w:ascii="仿宋" w:hAnsi="仿宋" w:eastAsia="仿宋" w:cs="仿宋"/>
                <w:bCs/>
                <w:color w:val="auto"/>
                <w:sz w:val="24"/>
                <w:highlight w:val="none"/>
                <w:shd w:val="clear" w:color="auto" w:fill="auto"/>
                <w:lang w:val="en-US" w:eastAsia="zh-CN"/>
              </w:rPr>
              <w:t>2</w:t>
            </w:r>
          </w:p>
        </w:tc>
        <w:tc>
          <w:tcPr>
            <w:tcW w:w="615" w:type="pct"/>
            <w:noWrap w:val="0"/>
            <w:vAlign w:val="center"/>
          </w:tcPr>
          <w:p w14:paraId="2ACBABF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 w:hAnsi="仿宋" w:eastAsia="仿宋" w:cs="仿宋"/>
                <w:bCs/>
                <w:color w:val="auto"/>
                <w:kern w:val="2"/>
                <w:sz w:val="24"/>
                <w:szCs w:val="24"/>
                <w:highlight w:val="none"/>
                <w:shd w:val="clear" w:color="auto" w:fill="auto"/>
                <w:lang w:val="en-US" w:eastAsia="zh-CN" w:bidi="ar-SA"/>
              </w:rPr>
            </w:pPr>
            <w:r>
              <w:rPr>
                <w:rFonts w:hint="eastAsia" w:ascii="仿宋" w:hAnsi="仿宋" w:eastAsia="仿宋" w:cs="仿宋"/>
                <w:bCs/>
                <w:color w:val="auto"/>
                <w:sz w:val="24"/>
                <w:highlight w:val="none"/>
                <w:shd w:val="clear" w:color="auto" w:fill="auto"/>
              </w:rPr>
              <w:t>瓷盆</w:t>
            </w:r>
          </w:p>
        </w:tc>
        <w:tc>
          <w:tcPr>
            <w:tcW w:w="1513" w:type="pct"/>
            <w:noWrap w:val="0"/>
            <w:vAlign w:val="center"/>
          </w:tcPr>
          <w:p w14:paraId="730D0E3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 w:hAnsi="仿宋" w:eastAsia="仿宋" w:cs="仿宋"/>
                <w:bCs/>
                <w:color w:val="auto"/>
                <w:kern w:val="2"/>
                <w:sz w:val="24"/>
                <w:szCs w:val="24"/>
                <w:highlight w:val="none"/>
                <w:shd w:val="clear" w:color="auto" w:fill="auto"/>
                <w:lang w:val="en-US" w:eastAsia="zh-CN" w:bidi="ar-SA"/>
              </w:rPr>
            </w:pPr>
            <w:r>
              <w:rPr>
                <w:rFonts w:hint="eastAsia" w:ascii="仿宋" w:hAnsi="仿宋" w:eastAsia="仿宋" w:cs="仿宋"/>
                <w:bCs/>
                <w:color w:val="auto"/>
                <w:sz w:val="24"/>
                <w:highlight w:val="none"/>
                <w:shd w:val="clear" w:color="auto" w:fill="auto"/>
              </w:rPr>
              <w:t>包括但不限于：小叶榕、金钱树、龙须树、发财树、萝文特、、幸福树、青苹果、椰子、鸭脚木</w:t>
            </w:r>
            <w:r>
              <w:rPr>
                <w:rFonts w:hint="eastAsia" w:ascii="仿宋" w:hAnsi="仿宋" w:eastAsia="仿宋" w:cs="仿宋"/>
                <w:bCs/>
                <w:color w:val="auto"/>
                <w:sz w:val="24"/>
                <w:highlight w:val="none"/>
                <w:shd w:val="clear" w:color="auto" w:fill="auto"/>
                <w:lang w:eastAsia="zh-CN"/>
              </w:rPr>
              <w:t>、天堂鸟、幸福树、夏威叶</w:t>
            </w:r>
            <w:r>
              <w:rPr>
                <w:rFonts w:hint="eastAsia" w:ascii="仿宋" w:hAnsi="仿宋" w:eastAsia="仿宋" w:cs="仿宋"/>
                <w:bCs/>
                <w:color w:val="auto"/>
                <w:sz w:val="24"/>
                <w:highlight w:val="none"/>
                <w:shd w:val="clear" w:color="auto" w:fill="auto"/>
              </w:rPr>
              <w:t>等</w:t>
            </w:r>
            <w:r>
              <w:rPr>
                <w:rFonts w:hint="eastAsia" w:ascii="仿宋" w:hAnsi="仿宋" w:eastAsia="仿宋" w:cs="仿宋"/>
                <w:bCs/>
                <w:color w:val="auto"/>
                <w:sz w:val="24"/>
                <w:highlight w:val="none"/>
                <w:shd w:val="clear" w:color="auto" w:fill="auto"/>
                <w:lang w:val="en-US" w:eastAsia="zh-CN"/>
              </w:rPr>
              <w:t xml:space="preserve">                                                                                                                                                                                                                                                                                                                                                                           </w:t>
            </w:r>
          </w:p>
        </w:tc>
        <w:tc>
          <w:tcPr>
            <w:tcW w:w="485" w:type="pct"/>
            <w:noWrap w:val="0"/>
            <w:vAlign w:val="center"/>
          </w:tcPr>
          <w:p w14:paraId="38C2965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 w:hAnsi="仿宋" w:eastAsia="仿宋" w:cs="仿宋"/>
                <w:bCs/>
                <w:color w:val="auto"/>
                <w:sz w:val="24"/>
                <w:highlight w:val="none"/>
                <w:shd w:val="clear" w:color="auto" w:fill="auto"/>
              </w:rPr>
            </w:pPr>
            <w:r>
              <w:rPr>
                <w:rFonts w:hint="eastAsia" w:ascii="仿宋" w:hAnsi="仿宋" w:eastAsia="仿宋" w:cs="仿宋"/>
                <w:bCs/>
                <w:color w:val="auto"/>
                <w:sz w:val="24"/>
                <w:highlight w:val="none"/>
                <w:shd w:val="clear" w:color="auto" w:fill="auto"/>
              </w:rPr>
              <w:t>≥35</w:t>
            </w:r>
          </w:p>
          <w:p w14:paraId="4D4DF84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 w:hAnsi="仿宋" w:eastAsia="仿宋" w:cs="仿宋"/>
                <w:bCs/>
                <w:color w:val="auto"/>
                <w:kern w:val="2"/>
                <w:sz w:val="24"/>
                <w:szCs w:val="24"/>
                <w:highlight w:val="none"/>
                <w:shd w:val="clear" w:color="auto" w:fill="auto"/>
                <w:lang w:val="en-US" w:eastAsia="zh-CN" w:bidi="ar-SA"/>
              </w:rPr>
            </w:pPr>
            <w:r>
              <w:rPr>
                <w:rFonts w:hint="eastAsia" w:ascii="仿宋" w:hAnsi="仿宋" w:eastAsia="仿宋" w:cs="仿宋"/>
                <w:bCs/>
                <w:color w:val="auto"/>
                <w:sz w:val="24"/>
                <w:highlight w:val="none"/>
                <w:shd w:val="clear" w:color="auto" w:fill="auto"/>
              </w:rPr>
              <w:t>cm</w:t>
            </w:r>
          </w:p>
        </w:tc>
        <w:tc>
          <w:tcPr>
            <w:tcW w:w="770" w:type="pct"/>
            <w:noWrap w:val="0"/>
            <w:vAlign w:val="center"/>
          </w:tcPr>
          <w:p w14:paraId="58E4682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 w:hAnsi="仿宋" w:eastAsia="仿宋" w:cs="仿宋"/>
                <w:bCs/>
                <w:color w:val="auto"/>
                <w:kern w:val="2"/>
                <w:sz w:val="24"/>
                <w:szCs w:val="24"/>
                <w:highlight w:val="none"/>
                <w:shd w:val="clear" w:color="auto" w:fill="auto"/>
                <w:lang w:val="en-US" w:eastAsia="zh-CN" w:bidi="ar-SA"/>
              </w:rPr>
            </w:pPr>
            <w:r>
              <w:rPr>
                <w:rFonts w:hint="eastAsia" w:ascii="仿宋" w:hAnsi="仿宋" w:eastAsia="仿宋" w:cs="仿宋"/>
                <w:bCs/>
                <w:color w:val="auto"/>
                <w:sz w:val="24"/>
                <w:highlight w:val="none"/>
                <w:shd w:val="clear" w:color="auto" w:fill="auto"/>
              </w:rPr>
              <w:t>1-1.5m</w:t>
            </w:r>
            <w:r>
              <w:rPr>
                <w:rFonts w:hint="eastAsia" w:ascii="仿宋" w:hAnsi="仿宋" w:eastAsia="仿宋" w:cs="仿宋"/>
                <w:bCs/>
                <w:color w:val="auto"/>
                <w:sz w:val="24"/>
                <w:highlight w:val="none"/>
                <w:shd w:val="clear" w:color="auto" w:fill="auto"/>
                <w:lang w:eastAsia="zh-CN"/>
              </w:rPr>
              <w:t>左右</w:t>
            </w:r>
          </w:p>
        </w:tc>
        <w:tc>
          <w:tcPr>
            <w:tcW w:w="495" w:type="pct"/>
            <w:noWrap w:val="0"/>
            <w:vAlign w:val="center"/>
          </w:tcPr>
          <w:p w14:paraId="179AE54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 w:hAnsi="仿宋" w:eastAsia="仿宋" w:cs="仿宋"/>
                <w:bCs/>
                <w:color w:val="FF0000"/>
                <w:kern w:val="2"/>
                <w:sz w:val="24"/>
                <w:szCs w:val="24"/>
                <w:highlight w:val="none"/>
                <w:shd w:val="clear" w:color="auto" w:fill="auto"/>
                <w:lang w:val="en-US" w:eastAsia="zh-CN" w:bidi="ar-SA"/>
              </w:rPr>
            </w:pPr>
            <w:r>
              <w:rPr>
                <w:rFonts w:hint="eastAsia" w:ascii="仿宋" w:hAnsi="仿宋" w:eastAsia="仿宋" w:cs="仿宋"/>
                <w:bCs/>
                <w:color w:val="FF0000"/>
                <w:sz w:val="24"/>
                <w:highlight w:val="none"/>
                <w:shd w:val="clear" w:color="auto" w:fill="auto"/>
                <w:lang w:val="en-US" w:eastAsia="zh-CN"/>
              </w:rPr>
              <w:t>80</w:t>
            </w:r>
            <w:r>
              <w:rPr>
                <w:rFonts w:hint="eastAsia" w:ascii="仿宋" w:hAnsi="仿宋" w:eastAsia="仿宋" w:cs="仿宋"/>
                <w:bCs/>
                <w:color w:val="FF0000"/>
                <w:sz w:val="24"/>
                <w:highlight w:val="none"/>
                <w:shd w:val="clear" w:color="auto" w:fill="auto"/>
              </w:rPr>
              <w:t>盆</w:t>
            </w:r>
          </w:p>
        </w:tc>
        <w:tc>
          <w:tcPr>
            <w:tcW w:w="740" w:type="pct"/>
            <w:noWrap w:val="0"/>
            <w:vAlign w:val="center"/>
          </w:tcPr>
          <w:p w14:paraId="18F86E4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 w:hAnsi="仿宋" w:eastAsia="仿宋" w:cs="仿宋"/>
                <w:bCs/>
                <w:color w:val="auto"/>
                <w:kern w:val="2"/>
                <w:sz w:val="24"/>
                <w:szCs w:val="24"/>
                <w:highlight w:val="none"/>
                <w:shd w:val="clear" w:color="auto" w:fill="auto"/>
                <w:lang w:val="en-US" w:eastAsia="zh-CN" w:bidi="ar-SA"/>
              </w:rPr>
            </w:pPr>
            <w:r>
              <w:rPr>
                <w:rFonts w:hint="eastAsia" w:ascii="仿宋" w:hAnsi="仿宋" w:eastAsia="仿宋" w:cs="仿宋"/>
                <w:bCs/>
                <w:color w:val="auto"/>
                <w:sz w:val="24"/>
                <w:highlight w:val="none"/>
                <w:shd w:val="clear" w:color="auto" w:fill="auto"/>
                <w:lang w:val="en-US" w:eastAsia="zh-CN"/>
              </w:rPr>
              <w:t>12</w:t>
            </w:r>
          </w:p>
        </w:tc>
      </w:tr>
    </w:tbl>
    <w:p w14:paraId="315006C5">
      <w:pPr>
        <w:pStyle w:val="2"/>
        <w:keepNext w:val="0"/>
        <w:keepLines w:val="0"/>
        <w:pageBreakBefore w:val="0"/>
        <w:widowControl w:val="0"/>
        <w:kinsoku/>
        <w:wordWrap/>
        <w:overflowPunct/>
        <w:topLinePunct w:val="0"/>
        <w:autoSpaceDE/>
        <w:autoSpaceDN/>
        <w:bidi w:val="0"/>
        <w:adjustRightInd/>
        <w:snapToGrid/>
        <w:spacing w:after="0" w:line="400" w:lineRule="exact"/>
        <w:ind w:right="0" w:firstLine="480" w:firstLineChars="200"/>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2.</w:t>
      </w:r>
      <w:r>
        <w:rPr>
          <w:rFonts w:hint="eastAsia" w:ascii="宋体" w:hAnsi="宋体" w:eastAsia="宋体" w:cs="宋体"/>
          <w:color w:val="auto"/>
          <w:sz w:val="24"/>
          <w:szCs w:val="24"/>
          <w:highlight w:val="none"/>
          <w:shd w:val="clear" w:color="auto" w:fill="auto"/>
          <w:lang w:eastAsia="zh-CN"/>
        </w:rPr>
        <w:t>富顺县中医</w:t>
      </w:r>
      <w:r>
        <w:rPr>
          <w:rFonts w:hint="eastAsia" w:ascii="宋体" w:hAnsi="宋体" w:eastAsia="宋体" w:cs="宋体"/>
          <w:color w:val="auto"/>
          <w:sz w:val="24"/>
          <w:szCs w:val="24"/>
          <w:highlight w:val="none"/>
          <w:shd w:val="clear" w:color="auto" w:fill="auto"/>
        </w:rPr>
        <w:t>医院</w:t>
      </w:r>
      <w:r>
        <w:rPr>
          <w:rFonts w:hint="eastAsia" w:ascii="宋体" w:hAnsi="宋体" w:eastAsia="宋体" w:cs="宋体"/>
          <w:color w:val="auto"/>
          <w:sz w:val="24"/>
          <w:szCs w:val="24"/>
          <w:highlight w:val="none"/>
          <w:shd w:val="clear" w:color="auto" w:fill="auto"/>
          <w:lang w:eastAsia="zh-CN"/>
        </w:rPr>
        <w:t>同心院区、</w:t>
      </w:r>
      <w:r>
        <w:rPr>
          <w:rFonts w:hint="eastAsia" w:ascii="宋体" w:hAnsi="宋体" w:eastAsia="宋体" w:cs="宋体"/>
          <w:color w:val="auto"/>
          <w:sz w:val="24"/>
          <w:szCs w:val="24"/>
          <w:highlight w:val="none"/>
          <w:shd w:val="clear" w:color="auto" w:fill="auto"/>
          <w:lang w:val="en-US" w:eastAsia="zh-CN"/>
        </w:rPr>
        <w:t>富达路院区</w:t>
      </w:r>
      <w:r>
        <w:rPr>
          <w:rFonts w:hint="eastAsia" w:ascii="宋体" w:hAnsi="宋体" w:eastAsia="宋体" w:cs="宋体"/>
          <w:color w:val="auto"/>
          <w:sz w:val="24"/>
          <w:szCs w:val="24"/>
          <w:highlight w:val="none"/>
          <w:shd w:val="clear" w:color="auto" w:fill="auto"/>
        </w:rPr>
        <w:t>绿植维护及无根藤清理：</w:t>
      </w:r>
    </w:p>
    <w:p w14:paraId="0141D701">
      <w:pPr>
        <w:pStyle w:val="2"/>
        <w:keepNext w:val="0"/>
        <w:keepLines w:val="0"/>
        <w:pageBreakBefore w:val="0"/>
        <w:widowControl w:val="0"/>
        <w:kinsoku/>
        <w:wordWrap/>
        <w:overflowPunct/>
        <w:topLinePunct w:val="0"/>
        <w:autoSpaceDE/>
        <w:autoSpaceDN/>
        <w:bidi w:val="0"/>
        <w:adjustRightInd/>
        <w:snapToGrid/>
        <w:spacing w:after="0" w:line="400" w:lineRule="exact"/>
        <w:ind w:right="0" w:firstLine="480" w:firstLineChars="200"/>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（1）</w:t>
      </w:r>
      <w:r>
        <w:rPr>
          <w:rFonts w:hint="eastAsia" w:ascii="宋体" w:hAnsi="宋体" w:eastAsia="宋体" w:cs="宋体"/>
          <w:color w:val="auto"/>
          <w:sz w:val="24"/>
          <w:szCs w:val="24"/>
          <w:highlight w:val="none"/>
          <w:shd w:val="clear" w:color="auto" w:fill="auto"/>
          <w:lang w:val="en-US" w:eastAsia="zh-CN"/>
        </w:rPr>
        <w:t>同心</w:t>
      </w:r>
      <w:r>
        <w:rPr>
          <w:rFonts w:hint="eastAsia" w:ascii="宋体" w:hAnsi="宋体" w:eastAsia="宋体" w:cs="宋体"/>
          <w:color w:val="auto"/>
          <w:sz w:val="24"/>
          <w:szCs w:val="24"/>
          <w:highlight w:val="none"/>
          <w:shd w:val="clear" w:color="auto" w:fill="auto"/>
        </w:rPr>
        <w:t>院区绿化面积约</w:t>
      </w:r>
      <w:r>
        <w:rPr>
          <w:rFonts w:hint="eastAsia" w:ascii="宋体" w:hAnsi="宋体" w:eastAsia="宋体" w:cs="宋体"/>
          <w:color w:val="auto"/>
          <w:sz w:val="24"/>
          <w:szCs w:val="24"/>
          <w:highlight w:val="none"/>
          <w:shd w:val="clear" w:color="auto" w:fill="auto"/>
          <w:lang w:val="en-US" w:eastAsia="zh-CN"/>
        </w:rPr>
        <w:t>11000</w:t>
      </w:r>
      <w:r>
        <w:rPr>
          <w:rFonts w:hint="eastAsia" w:ascii="宋体" w:hAnsi="宋体" w:eastAsia="宋体" w:cs="宋体"/>
          <w:color w:val="auto"/>
          <w:sz w:val="24"/>
          <w:szCs w:val="24"/>
          <w:highlight w:val="none"/>
          <w:shd w:val="clear" w:color="auto" w:fill="auto"/>
        </w:rPr>
        <w:t>㎡，</w:t>
      </w:r>
      <w:r>
        <w:rPr>
          <w:rFonts w:hint="eastAsia" w:ascii="宋体" w:hAnsi="宋体" w:eastAsia="宋体" w:cs="宋体"/>
          <w:color w:val="auto"/>
          <w:sz w:val="24"/>
          <w:szCs w:val="24"/>
          <w:highlight w:val="none"/>
          <w:shd w:val="clear" w:color="auto" w:fill="auto"/>
          <w:lang w:val="en-US" w:eastAsia="zh-CN"/>
        </w:rPr>
        <w:t>富达路院区绿化面积约900</w:t>
      </w:r>
      <w:r>
        <w:rPr>
          <w:rFonts w:hint="eastAsia" w:ascii="宋体" w:hAnsi="宋体" w:eastAsia="宋体" w:cs="宋体"/>
          <w:color w:val="auto"/>
          <w:sz w:val="24"/>
          <w:szCs w:val="24"/>
          <w:highlight w:val="none"/>
          <w:shd w:val="clear" w:color="auto" w:fill="auto"/>
        </w:rPr>
        <w:t>㎡（详细位置包括但不限于绿化点位示意图</w:t>
      </w:r>
      <w:r>
        <w:rPr>
          <w:rFonts w:hint="eastAsia" w:ascii="宋体" w:hAnsi="宋体" w:eastAsia="宋体" w:cs="宋体"/>
          <w:color w:val="auto"/>
          <w:sz w:val="24"/>
          <w:szCs w:val="24"/>
          <w:highlight w:val="none"/>
          <w:shd w:val="clear" w:color="auto" w:fill="auto"/>
          <w:lang w:eastAsia="zh-CN"/>
        </w:rPr>
        <w:t>，见下图</w:t>
      </w:r>
      <w:r>
        <w:rPr>
          <w:rFonts w:hint="eastAsia" w:ascii="宋体" w:hAnsi="宋体" w:eastAsia="宋体" w:cs="宋体"/>
          <w:color w:val="auto"/>
          <w:sz w:val="24"/>
          <w:szCs w:val="24"/>
          <w:highlight w:val="none"/>
          <w:shd w:val="clear" w:color="auto" w:fill="auto"/>
        </w:rPr>
        <w:t>）</w:t>
      </w:r>
      <w:r>
        <w:rPr>
          <w:rFonts w:hint="eastAsia" w:ascii="宋体" w:hAnsi="宋体" w:eastAsia="宋体" w:cs="宋体"/>
          <w:color w:val="auto"/>
          <w:sz w:val="24"/>
          <w:szCs w:val="24"/>
          <w:highlight w:val="none"/>
          <w:shd w:val="clear" w:color="auto" w:fill="auto"/>
          <w:lang w:eastAsia="zh-CN"/>
        </w:rPr>
        <w:t>，</w:t>
      </w:r>
      <w:r>
        <w:rPr>
          <w:rFonts w:hint="eastAsia" w:ascii="宋体" w:hAnsi="宋体" w:eastAsia="宋体" w:cs="宋体"/>
          <w:color w:val="auto"/>
          <w:sz w:val="24"/>
          <w:szCs w:val="24"/>
          <w:highlight w:val="none"/>
          <w:shd w:val="clear" w:color="auto" w:fill="auto"/>
        </w:rPr>
        <w:t>维护内容包括</w:t>
      </w:r>
      <w:r>
        <w:rPr>
          <w:rFonts w:hint="eastAsia" w:ascii="宋体" w:hAnsi="宋体" w:eastAsia="宋体" w:cs="宋体"/>
          <w:color w:val="auto"/>
          <w:sz w:val="24"/>
          <w:szCs w:val="24"/>
          <w:highlight w:val="none"/>
          <w:shd w:val="clear" w:color="auto" w:fill="auto"/>
          <w:lang w:eastAsia="zh-CN"/>
        </w:rPr>
        <w:t>同心院区、</w:t>
      </w:r>
      <w:r>
        <w:rPr>
          <w:rFonts w:hint="eastAsia" w:ascii="宋体" w:hAnsi="宋体" w:eastAsia="宋体" w:cs="宋体"/>
          <w:color w:val="auto"/>
          <w:sz w:val="24"/>
          <w:szCs w:val="24"/>
          <w:highlight w:val="none"/>
          <w:shd w:val="clear" w:color="auto" w:fill="auto"/>
          <w:lang w:val="en-US" w:eastAsia="zh-CN"/>
        </w:rPr>
        <w:t>富达路院区</w:t>
      </w:r>
      <w:r>
        <w:rPr>
          <w:rFonts w:hint="eastAsia" w:ascii="宋体" w:hAnsi="宋体" w:eastAsia="宋体" w:cs="宋体"/>
          <w:color w:val="auto"/>
          <w:sz w:val="24"/>
          <w:szCs w:val="24"/>
          <w:highlight w:val="none"/>
          <w:shd w:val="clear" w:color="auto" w:fill="auto"/>
        </w:rPr>
        <w:t>所有的树木、绿植、花卉、草坪、租赁盆栽的浇水、施肥、修枝整形、除虫、除草、补栽补种、松土、防旱防寒、养护、枯枝败叶清理等所有绿化维护工作，维护标准须保障院区内所有花草树木等正常存活，花草正常开放，如出现病植枯植、裸露土地等情况时应按采购人要求及时补栽、补种处理</w:t>
      </w:r>
      <w:r>
        <w:rPr>
          <w:rFonts w:hint="eastAsia" w:ascii="宋体" w:hAnsi="宋体" w:eastAsia="宋体" w:cs="宋体"/>
          <w:color w:val="auto"/>
          <w:sz w:val="24"/>
          <w:szCs w:val="24"/>
          <w:highlight w:val="none"/>
          <w:shd w:val="clear" w:color="auto" w:fill="auto"/>
          <w:lang w:eastAsia="zh-CN"/>
        </w:rPr>
        <w:t>（补栽、补种的植物另行采购）</w:t>
      </w:r>
      <w:r>
        <w:rPr>
          <w:rFonts w:hint="eastAsia" w:ascii="宋体" w:hAnsi="宋体" w:eastAsia="宋体" w:cs="宋体"/>
          <w:color w:val="auto"/>
          <w:sz w:val="24"/>
          <w:szCs w:val="24"/>
          <w:highlight w:val="none"/>
          <w:shd w:val="clear" w:color="auto" w:fill="auto"/>
        </w:rPr>
        <w:t>；</w:t>
      </w:r>
    </w:p>
    <w:p w14:paraId="4442FECA">
      <w:pPr>
        <w:pageBreakBefore w:val="0"/>
        <w:kinsoku/>
        <w:wordWrap/>
        <w:overflowPunct/>
        <w:topLinePunct w:val="0"/>
        <w:autoSpaceDE/>
        <w:autoSpaceDN/>
        <w:bidi w:val="0"/>
        <w:adjustRightInd/>
        <w:snapToGrid/>
        <w:spacing w:line="240" w:lineRule="auto"/>
        <w:jc w:val="center"/>
        <w:rPr>
          <w:rFonts w:ascii="仿宋" w:hAnsi="仿宋" w:eastAsia="仿宋" w:cs="仿宋"/>
          <w:b/>
          <w:bCs/>
          <w:color w:val="auto"/>
          <w:sz w:val="24"/>
          <w:highlight w:val="none"/>
          <w:shd w:val="clear" w:color="auto" w:fill="auto"/>
        </w:rPr>
      </w:pPr>
      <w:r>
        <w:rPr>
          <w:color w:val="auto"/>
          <w:highlight w:val="none"/>
          <w:shd w:val="clear" w:color="auto" w:fill="auto"/>
        </w:rPr>
        <w:drawing>
          <wp:inline distT="0" distB="0" distL="114300" distR="114300">
            <wp:extent cx="5274310" cy="3599815"/>
            <wp:effectExtent l="9525" t="9525" r="12065" b="10160"/>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4"/>
                    <a:stretch>
                      <a:fillRect/>
                    </a:stretch>
                  </pic:blipFill>
                  <pic:spPr>
                    <a:xfrm>
                      <a:off x="0" y="0"/>
                      <a:ext cx="5274310" cy="3599815"/>
                    </a:xfrm>
                    <a:prstGeom prst="rect">
                      <a:avLst/>
                    </a:prstGeom>
                    <a:noFill/>
                    <a:ln>
                      <a:solidFill>
                        <a:schemeClr val="tx1">
                          <a:lumMod val="75000"/>
                          <a:lumOff val="25000"/>
                        </a:schemeClr>
                      </a:solidFill>
                    </a:ln>
                  </pic:spPr>
                </pic:pic>
              </a:graphicData>
            </a:graphic>
          </wp:inline>
        </w:drawing>
      </w:r>
      <w:r>
        <w:rPr>
          <w:rFonts w:hint="eastAsia" w:ascii="仿宋" w:hAnsi="仿宋" w:eastAsia="仿宋" w:cs="仿宋"/>
          <w:b/>
          <w:bCs/>
          <w:color w:val="auto"/>
          <w:sz w:val="24"/>
          <w:highlight w:val="none"/>
          <w:shd w:val="clear" w:color="auto" w:fill="auto"/>
          <w:lang w:val="en-US" w:eastAsia="zh-CN"/>
        </w:rPr>
        <w:t>同心院区</w:t>
      </w:r>
      <w:r>
        <w:rPr>
          <w:rFonts w:hint="eastAsia" w:ascii="仿宋" w:hAnsi="仿宋" w:eastAsia="仿宋" w:cs="仿宋"/>
          <w:b/>
          <w:bCs/>
          <w:color w:val="auto"/>
          <w:sz w:val="24"/>
          <w:highlight w:val="none"/>
          <w:shd w:val="clear" w:color="auto" w:fill="auto"/>
        </w:rPr>
        <w:t>绿化点位图</w:t>
      </w:r>
    </w:p>
    <w:p w14:paraId="143633E2">
      <w:pPr>
        <w:pStyle w:val="2"/>
        <w:keepNext w:val="0"/>
        <w:keepLines w:val="0"/>
        <w:pageBreakBefore w:val="0"/>
        <w:widowControl w:val="0"/>
        <w:kinsoku/>
        <w:wordWrap/>
        <w:overflowPunct/>
        <w:topLinePunct w:val="0"/>
        <w:autoSpaceDE/>
        <w:autoSpaceDN/>
        <w:bidi w:val="0"/>
        <w:adjustRightInd/>
        <w:snapToGrid/>
        <w:spacing w:after="0" w:line="240" w:lineRule="auto"/>
        <w:ind w:right="0"/>
        <w:jc w:val="center"/>
        <w:textAlignment w:val="auto"/>
        <w:rPr>
          <w:rFonts w:hint="default" w:ascii="仿宋" w:hAnsi="仿宋" w:eastAsia="仿宋" w:cs="仿宋"/>
          <w:b/>
          <w:bCs/>
          <w:color w:val="auto"/>
          <w:kern w:val="2"/>
          <w:sz w:val="24"/>
          <w:szCs w:val="24"/>
          <w:highlight w:val="none"/>
          <w:shd w:val="clear" w:color="auto" w:fill="auto"/>
          <w:lang w:val="en-US" w:eastAsia="zh-CN" w:bidi="ar-SA"/>
        </w:rPr>
      </w:pPr>
      <w:r>
        <w:rPr>
          <w:rFonts w:hint="eastAsia" w:ascii="宋体" w:hAnsi="宋体" w:cs="宋体"/>
          <w:color w:val="auto"/>
          <w:sz w:val="24"/>
          <w:szCs w:val="24"/>
          <w:highlight w:val="none"/>
          <w:shd w:val="clear" w:color="auto" w:fill="auto"/>
          <w:lang w:val="en-US" w:eastAsia="zh-CN"/>
        </w:rPr>
        <w:drawing>
          <wp:inline distT="0" distB="0" distL="114300" distR="114300">
            <wp:extent cx="5272405" cy="3599815"/>
            <wp:effectExtent l="9525" t="9525" r="13970" b="10160"/>
            <wp:docPr id="2" name="图片 2" descr="1747975180901"/>
            <wp:cNvGraphicFramePr/>
            <a:graphic xmlns:a="http://schemas.openxmlformats.org/drawingml/2006/main">
              <a:graphicData uri="http://schemas.openxmlformats.org/drawingml/2006/picture">
                <pic:pic xmlns:pic="http://schemas.openxmlformats.org/drawingml/2006/picture">
                  <pic:nvPicPr>
                    <pic:cNvPr id="2" name="图片 2" descr="1747975180901"/>
                    <pic:cNvPicPr/>
                  </pic:nvPicPr>
                  <pic:blipFill>
                    <a:blip r:embed="rId5"/>
                    <a:stretch>
                      <a:fillRect/>
                    </a:stretch>
                  </pic:blipFill>
                  <pic:spPr>
                    <a:xfrm>
                      <a:off x="0" y="0"/>
                      <a:ext cx="5272405" cy="3599815"/>
                    </a:xfrm>
                    <a:prstGeom prst="rect">
                      <a:avLst/>
                    </a:prstGeom>
                    <a:ln>
                      <a:solidFill>
                        <a:schemeClr val="tx1">
                          <a:lumMod val="75000"/>
                          <a:lumOff val="25000"/>
                        </a:schemeClr>
                      </a:solidFill>
                    </a:ln>
                  </pic:spPr>
                </pic:pic>
              </a:graphicData>
            </a:graphic>
          </wp:inline>
        </w:drawing>
      </w:r>
      <w:r>
        <w:rPr>
          <w:rFonts w:hint="eastAsia" w:ascii="仿宋" w:hAnsi="仿宋" w:eastAsia="仿宋" w:cs="仿宋"/>
          <w:b/>
          <w:bCs/>
          <w:color w:val="auto"/>
          <w:kern w:val="2"/>
          <w:sz w:val="24"/>
          <w:szCs w:val="24"/>
          <w:highlight w:val="none"/>
          <w:shd w:val="clear" w:color="auto" w:fill="auto"/>
          <w:lang w:val="en-US" w:eastAsia="zh-CN" w:bidi="ar-SA"/>
        </w:rPr>
        <w:t>富达路院区绿化点位图</w:t>
      </w:r>
    </w:p>
    <w:p w14:paraId="721412FC">
      <w:pPr>
        <w:pStyle w:val="2"/>
        <w:keepNext w:val="0"/>
        <w:keepLines w:val="0"/>
        <w:pageBreakBefore w:val="0"/>
        <w:widowControl w:val="0"/>
        <w:kinsoku/>
        <w:wordWrap/>
        <w:overflowPunct/>
        <w:topLinePunct w:val="0"/>
        <w:autoSpaceDE/>
        <w:autoSpaceDN/>
        <w:bidi w:val="0"/>
        <w:adjustRightInd/>
        <w:snapToGrid/>
        <w:spacing w:after="0" w:line="240" w:lineRule="auto"/>
        <w:ind w:right="0"/>
        <w:textAlignment w:val="auto"/>
        <w:rPr>
          <w:rFonts w:hint="eastAsia" w:ascii="宋体" w:hAnsi="宋体" w:eastAsia="宋体" w:cs="宋体"/>
          <w:color w:val="auto"/>
          <w:sz w:val="24"/>
          <w:szCs w:val="24"/>
          <w:highlight w:val="none"/>
          <w:shd w:val="clear" w:color="auto" w:fill="auto"/>
        </w:rPr>
      </w:pPr>
    </w:p>
    <w:p w14:paraId="409EF3BC">
      <w:pPr>
        <w:pStyle w:val="2"/>
        <w:keepNext w:val="0"/>
        <w:keepLines w:val="0"/>
        <w:pageBreakBefore w:val="0"/>
        <w:widowControl w:val="0"/>
        <w:kinsoku/>
        <w:wordWrap/>
        <w:overflowPunct/>
        <w:topLinePunct w:val="0"/>
        <w:autoSpaceDE/>
        <w:autoSpaceDN/>
        <w:bidi w:val="0"/>
        <w:adjustRightInd/>
        <w:snapToGrid/>
        <w:spacing w:after="0" w:line="240" w:lineRule="auto"/>
        <w:ind w:right="0" w:firstLine="480" w:firstLineChars="200"/>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（2）保障所有绿化点位无裸露土地，发现裸土时供应商应于一周内及时补栽；</w:t>
      </w:r>
    </w:p>
    <w:p w14:paraId="758B91BE">
      <w:pPr>
        <w:pStyle w:val="2"/>
        <w:keepNext w:val="0"/>
        <w:keepLines w:val="0"/>
        <w:pageBreakBefore w:val="0"/>
        <w:widowControl w:val="0"/>
        <w:kinsoku/>
        <w:wordWrap/>
        <w:overflowPunct/>
        <w:topLinePunct w:val="0"/>
        <w:autoSpaceDE/>
        <w:autoSpaceDN/>
        <w:bidi w:val="0"/>
        <w:adjustRightInd/>
        <w:snapToGrid/>
        <w:spacing w:after="0" w:line="400" w:lineRule="exact"/>
        <w:ind w:right="0" w:firstLine="480" w:firstLineChars="200"/>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（3）绿化植物修剪包含医院所有大小型绿色植物</w:t>
      </w:r>
      <w:r>
        <w:rPr>
          <w:rFonts w:hint="eastAsia" w:ascii="宋体" w:hAnsi="宋体" w:eastAsia="宋体" w:cs="宋体"/>
          <w:color w:val="auto"/>
          <w:sz w:val="24"/>
          <w:szCs w:val="24"/>
          <w:highlight w:val="none"/>
          <w:shd w:val="clear" w:color="auto" w:fill="auto"/>
          <w:lang w:eastAsia="zh-CN"/>
        </w:rPr>
        <w:t>；</w:t>
      </w:r>
      <w:r>
        <w:rPr>
          <w:rFonts w:hint="eastAsia" w:ascii="宋体" w:hAnsi="宋体" w:eastAsia="宋体" w:cs="宋体"/>
          <w:color w:val="auto"/>
          <w:sz w:val="24"/>
          <w:szCs w:val="24"/>
          <w:highlight w:val="none"/>
          <w:shd w:val="clear" w:color="auto" w:fill="auto"/>
        </w:rPr>
        <w:t>（含：</w:t>
      </w:r>
      <w:r>
        <w:rPr>
          <w:rFonts w:hint="eastAsia" w:ascii="宋体" w:hAnsi="宋体" w:eastAsia="宋体" w:cs="宋体"/>
          <w:color w:val="auto"/>
          <w:sz w:val="24"/>
          <w:szCs w:val="24"/>
          <w:highlight w:val="none"/>
          <w:shd w:val="clear" w:color="auto" w:fill="auto"/>
          <w:lang w:eastAsia="zh-CN"/>
        </w:rPr>
        <w:t>同心院区、</w:t>
      </w:r>
      <w:r>
        <w:rPr>
          <w:rFonts w:hint="eastAsia" w:ascii="宋体" w:hAnsi="宋体" w:eastAsia="宋体" w:cs="宋体"/>
          <w:color w:val="auto"/>
          <w:sz w:val="24"/>
          <w:szCs w:val="24"/>
          <w:highlight w:val="none"/>
          <w:shd w:val="clear" w:color="auto" w:fill="auto"/>
          <w:lang w:val="en-US" w:eastAsia="zh-CN"/>
        </w:rPr>
        <w:t>富达路院区</w:t>
      </w:r>
      <w:r>
        <w:rPr>
          <w:rFonts w:hint="eastAsia" w:ascii="宋体" w:hAnsi="宋体" w:eastAsia="宋体" w:cs="宋体"/>
          <w:color w:val="auto"/>
          <w:sz w:val="24"/>
          <w:szCs w:val="24"/>
          <w:highlight w:val="none"/>
          <w:shd w:val="clear" w:color="auto" w:fill="auto"/>
          <w:lang w:eastAsia="zh-CN"/>
        </w:rPr>
        <w:t>乔木每年修剪整型</w:t>
      </w:r>
      <w:r>
        <w:rPr>
          <w:rFonts w:hint="eastAsia" w:ascii="宋体" w:hAnsi="宋体" w:eastAsia="宋体" w:cs="宋体"/>
          <w:color w:val="auto"/>
          <w:sz w:val="24"/>
          <w:szCs w:val="24"/>
          <w:highlight w:val="none"/>
          <w:shd w:val="clear" w:color="auto" w:fill="auto"/>
          <w:lang w:val="en-US" w:eastAsia="zh-CN"/>
        </w:rPr>
        <w:t>至少</w:t>
      </w:r>
      <w:r>
        <w:rPr>
          <w:rFonts w:hint="eastAsia" w:ascii="宋体" w:hAnsi="宋体" w:eastAsia="宋体" w:cs="宋体"/>
          <w:color w:val="auto"/>
          <w:sz w:val="24"/>
          <w:szCs w:val="24"/>
          <w:highlight w:val="none"/>
          <w:shd w:val="clear" w:color="auto" w:fill="auto"/>
          <w:lang w:eastAsia="zh-CN"/>
        </w:rPr>
        <w:t>一次（根据树的长势和品种特性合理安排时间），灌木和球形类植物，每年修剪整型</w:t>
      </w:r>
      <w:r>
        <w:rPr>
          <w:rFonts w:hint="eastAsia" w:ascii="宋体" w:hAnsi="宋体" w:eastAsia="宋体" w:cs="宋体"/>
          <w:color w:val="auto"/>
          <w:sz w:val="24"/>
          <w:szCs w:val="24"/>
          <w:highlight w:val="none"/>
          <w:shd w:val="clear" w:color="auto" w:fill="auto"/>
          <w:lang w:val="en-US" w:eastAsia="zh-CN"/>
        </w:rPr>
        <w:t>至少3次</w:t>
      </w:r>
      <w:r>
        <w:rPr>
          <w:rFonts w:hint="eastAsia" w:ascii="宋体" w:hAnsi="宋体" w:eastAsia="宋体" w:cs="宋体"/>
          <w:color w:val="auto"/>
          <w:sz w:val="24"/>
          <w:szCs w:val="24"/>
          <w:highlight w:val="none"/>
          <w:shd w:val="clear" w:color="auto" w:fill="auto"/>
          <w:lang w:eastAsia="zh-CN"/>
        </w:rPr>
        <w:t>以上（根据品种和树苗长势合理安排时间），草坪每年修剪</w:t>
      </w:r>
      <w:r>
        <w:rPr>
          <w:rFonts w:hint="eastAsia" w:ascii="宋体" w:hAnsi="宋体" w:eastAsia="宋体" w:cs="宋体"/>
          <w:color w:val="auto"/>
          <w:sz w:val="24"/>
          <w:szCs w:val="24"/>
          <w:highlight w:val="none"/>
          <w:shd w:val="clear" w:color="auto" w:fill="auto"/>
          <w:lang w:val="en-US" w:eastAsia="zh-CN"/>
        </w:rPr>
        <w:t>至少</w:t>
      </w:r>
      <w:r>
        <w:rPr>
          <w:rFonts w:hint="eastAsia" w:ascii="宋体" w:hAnsi="宋体" w:eastAsia="宋体" w:cs="宋体"/>
          <w:color w:val="auto"/>
          <w:sz w:val="24"/>
          <w:szCs w:val="24"/>
          <w:highlight w:val="none"/>
          <w:shd w:val="clear" w:color="auto" w:fill="auto"/>
          <w:lang w:eastAsia="zh-CN"/>
        </w:rPr>
        <w:t>3次以上（根据苗木长势合理安排时间），其他未列明的植物按照采购人需求及时进行修剪。</w:t>
      </w:r>
    </w:p>
    <w:p w14:paraId="5561C023">
      <w:pPr>
        <w:pStyle w:val="2"/>
        <w:keepNext w:val="0"/>
        <w:keepLines w:val="0"/>
        <w:pageBreakBefore w:val="0"/>
        <w:widowControl w:val="0"/>
        <w:kinsoku/>
        <w:wordWrap/>
        <w:overflowPunct/>
        <w:topLinePunct w:val="0"/>
        <w:autoSpaceDE/>
        <w:autoSpaceDN/>
        <w:bidi w:val="0"/>
        <w:adjustRightInd/>
        <w:snapToGrid/>
        <w:spacing w:after="0" w:line="400" w:lineRule="exact"/>
        <w:ind w:right="0" w:firstLine="480" w:firstLineChars="200"/>
        <w:textAlignment w:val="auto"/>
        <w:rPr>
          <w:rFonts w:hint="eastAsia" w:ascii="宋体" w:hAnsi="宋体" w:eastAsia="宋体" w:cs="宋体"/>
          <w:color w:val="auto"/>
          <w:sz w:val="24"/>
          <w:szCs w:val="24"/>
          <w:highlight w:val="none"/>
          <w:shd w:val="clear" w:color="auto" w:fill="auto"/>
          <w:lang w:val="en-US" w:eastAsia="zh-CN"/>
        </w:rPr>
      </w:pPr>
      <w:r>
        <w:rPr>
          <w:rFonts w:hint="eastAsia" w:ascii="宋体" w:hAnsi="宋体" w:eastAsia="宋体" w:cs="宋体"/>
          <w:color w:val="auto"/>
          <w:sz w:val="24"/>
          <w:szCs w:val="24"/>
          <w:highlight w:val="none"/>
          <w:shd w:val="clear" w:color="auto" w:fill="auto"/>
          <w:lang w:val="en-US" w:eastAsia="zh-CN"/>
        </w:rPr>
        <w:t>（4）绿植花草施肥保证至少每年二次以上，在春秋季节。</w:t>
      </w:r>
    </w:p>
    <w:p w14:paraId="4BF65944">
      <w:pPr>
        <w:pStyle w:val="2"/>
        <w:keepNext w:val="0"/>
        <w:keepLines w:val="0"/>
        <w:pageBreakBefore w:val="0"/>
        <w:widowControl w:val="0"/>
        <w:kinsoku/>
        <w:wordWrap/>
        <w:overflowPunct/>
        <w:topLinePunct w:val="0"/>
        <w:autoSpaceDE/>
        <w:autoSpaceDN/>
        <w:bidi w:val="0"/>
        <w:adjustRightInd/>
        <w:snapToGrid/>
        <w:spacing w:after="0" w:line="400" w:lineRule="exact"/>
        <w:ind w:right="0" w:firstLine="480" w:firstLineChars="200"/>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w:t>
      </w:r>
      <w:r>
        <w:rPr>
          <w:rFonts w:hint="eastAsia" w:ascii="宋体" w:hAnsi="宋体" w:eastAsia="宋体" w:cs="宋体"/>
          <w:color w:val="auto"/>
          <w:sz w:val="24"/>
          <w:szCs w:val="24"/>
          <w:highlight w:val="none"/>
          <w:shd w:val="clear" w:color="auto" w:fill="auto"/>
          <w:lang w:val="en-US" w:eastAsia="zh-CN"/>
        </w:rPr>
        <w:t>5</w:t>
      </w:r>
      <w:r>
        <w:rPr>
          <w:rFonts w:hint="eastAsia" w:ascii="宋体" w:hAnsi="宋体" w:eastAsia="宋体" w:cs="宋体"/>
          <w:color w:val="auto"/>
          <w:sz w:val="24"/>
          <w:szCs w:val="24"/>
          <w:highlight w:val="none"/>
          <w:shd w:val="clear" w:color="auto" w:fill="auto"/>
        </w:rPr>
        <w:t>）供应商可在本项目开标前自行到项目所在地查看了解院区内绿化现状，采购人不再另行组织现场考察，若因供应商未到项目现场自行评估又报价中标，由此产生的一切后果及责任由供应商自行承担，采购人不承担任何责任。</w:t>
      </w:r>
    </w:p>
    <w:p w14:paraId="0CD8E90D">
      <w:pPr>
        <w:pStyle w:val="3"/>
        <w:pageBreakBefore w:val="0"/>
        <w:kinsoku/>
        <w:wordWrap/>
        <w:overflowPunct/>
        <w:topLinePunct w:val="0"/>
        <w:autoSpaceDE/>
        <w:autoSpaceDN/>
        <w:bidi w:val="0"/>
        <w:adjustRightInd/>
        <w:snapToGrid/>
        <w:spacing w:line="400" w:lineRule="exact"/>
        <w:ind w:firstLine="480" w:firstLineChars="200"/>
        <w:rPr>
          <w:rFonts w:hint="default" w:eastAsia="宋体"/>
          <w:lang w:val="en-US" w:eastAsia="zh-CN"/>
        </w:rPr>
      </w:pPr>
      <w:r>
        <w:rPr>
          <w:rFonts w:hint="eastAsia" w:ascii="宋体" w:hAnsi="宋体" w:eastAsia="宋体" w:cs="宋体"/>
          <w:color w:val="auto"/>
          <w:sz w:val="24"/>
          <w:szCs w:val="24"/>
          <w:highlight w:val="none"/>
          <w:shd w:val="clear" w:color="auto" w:fill="auto"/>
          <w:lang w:eastAsia="zh-CN"/>
        </w:rPr>
        <w:t>（</w:t>
      </w:r>
      <w:r>
        <w:rPr>
          <w:rFonts w:hint="eastAsia" w:ascii="宋体" w:hAnsi="宋体" w:eastAsia="宋体" w:cs="宋体"/>
          <w:color w:val="auto"/>
          <w:sz w:val="24"/>
          <w:szCs w:val="24"/>
          <w:highlight w:val="none"/>
          <w:shd w:val="clear" w:color="auto" w:fill="auto"/>
          <w:lang w:val="en-US" w:eastAsia="zh-CN"/>
        </w:rPr>
        <w:t>6</w:t>
      </w:r>
      <w:r>
        <w:rPr>
          <w:rFonts w:hint="eastAsia" w:ascii="宋体" w:hAnsi="宋体" w:eastAsia="宋体" w:cs="宋体"/>
          <w:color w:val="auto"/>
          <w:sz w:val="24"/>
          <w:szCs w:val="24"/>
          <w:highlight w:val="none"/>
          <w:shd w:val="clear" w:color="auto" w:fill="auto"/>
          <w:lang w:eastAsia="zh-CN"/>
        </w:rPr>
        <w:t>）</w:t>
      </w:r>
      <w:r>
        <w:rPr>
          <w:rFonts w:hint="eastAsia" w:ascii="宋体" w:hAnsi="宋体" w:eastAsia="宋体" w:cs="宋体"/>
          <w:color w:val="auto"/>
          <w:sz w:val="24"/>
          <w:szCs w:val="24"/>
          <w:highlight w:val="none"/>
          <w:shd w:val="clear" w:color="auto" w:fill="auto"/>
          <w:lang w:val="en-US" w:eastAsia="zh-CN"/>
        </w:rPr>
        <w:t>绿植修剪和施肥所涉及工具和肥料均由中标供应商提供。</w:t>
      </w:r>
    </w:p>
    <w:p w14:paraId="0FFF414A">
      <w:pPr>
        <w:pStyle w:val="2"/>
        <w:keepNext w:val="0"/>
        <w:keepLines w:val="0"/>
        <w:pageBreakBefore w:val="0"/>
        <w:widowControl w:val="0"/>
        <w:numPr>
          <w:ilvl w:val="0"/>
          <w:numId w:val="0"/>
        </w:numPr>
        <w:kinsoku/>
        <w:wordWrap/>
        <w:overflowPunct/>
        <w:topLinePunct w:val="0"/>
        <w:autoSpaceDE/>
        <w:autoSpaceDN/>
        <w:bidi w:val="0"/>
        <w:adjustRightInd/>
        <w:snapToGrid/>
        <w:spacing w:after="0" w:line="400" w:lineRule="exact"/>
        <w:ind w:right="0" w:rightChars="0" w:firstLine="562" w:firstLineChars="200"/>
        <w:textAlignment w:val="auto"/>
        <w:rPr>
          <w:rFonts w:hint="eastAsia" w:ascii="宋体" w:hAnsi="宋体" w:eastAsia="宋体" w:cs="宋体"/>
          <w:b/>
          <w:color w:val="auto"/>
          <w:kern w:val="2"/>
          <w:sz w:val="28"/>
          <w:szCs w:val="28"/>
          <w:highlight w:val="none"/>
          <w:shd w:val="clear" w:color="auto" w:fill="auto"/>
          <w:lang w:val="en-US" w:eastAsia="zh-CN" w:bidi="ar-SA"/>
        </w:rPr>
      </w:pPr>
      <w:r>
        <w:rPr>
          <w:rFonts w:hint="eastAsia" w:ascii="宋体" w:hAnsi="宋体" w:eastAsia="宋体" w:cs="宋体"/>
          <w:b/>
          <w:color w:val="auto"/>
          <w:kern w:val="2"/>
          <w:sz w:val="28"/>
          <w:szCs w:val="28"/>
          <w:highlight w:val="none"/>
          <w:shd w:val="clear" w:color="auto" w:fill="auto"/>
          <w:lang w:val="en-US" w:eastAsia="zh-CN" w:bidi="ar-SA"/>
        </w:rPr>
        <w:t>四、服务质量</w:t>
      </w:r>
    </w:p>
    <w:p w14:paraId="729D9A8B">
      <w:pPr>
        <w:pStyle w:val="2"/>
        <w:keepNext w:val="0"/>
        <w:keepLines w:val="0"/>
        <w:pageBreakBefore w:val="0"/>
        <w:widowControl w:val="0"/>
        <w:kinsoku/>
        <w:wordWrap/>
        <w:overflowPunct/>
        <w:topLinePunct w:val="0"/>
        <w:autoSpaceDE/>
        <w:autoSpaceDN/>
        <w:bidi w:val="0"/>
        <w:adjustRightInd/>
        <w:snapToGrid/>
        <w:spacing w:after="0" w:line="400" w:lineRule="exact"/>
        <w:ind w:right="0" w:firstLine="480" w:firstLineChars="200"/>
        <w:textAlignment w:val="auto"/>
        <w:rPr>
          <w:rFonts w:hint="default" w:ascii="宋体" w:hAnsi="宋体" w:eastAsia="宋体" w:cs="宋体"/>
          <w:color w:val="FF0000"/>
          <w:sz w:val="24"/>
          <w:szCs w:val="24"/>
          <w:highlight w:val="none"/>
          <w:shd w:val="clear" w:color="auto" w:fill="auto"/>
          <w:lang w:val="en-US" w:eastAsia="zh-CN"/>
        </w:rPr>
      </w:pPr>
      <w:r>
        <w:rPr>
          <w:rFonts w:hint="eastAsia" w:ascii="宋体" w:hAnsi="宋体" w:eastAsia="宋体" w:cs="宋体"/>
          <w:color w:val="auto"/>
          <w:sz w:val="24"/>
          <w:szCs w:val="24"/>
          <w:highlight w:val="none"/>
          <w:shd w:val="clear" w:color="auto" w:fill="auto"/>
        </w:rPr>
        <w:t>（1）供应商应为采购人提供相关工作人员名单及联系电话，确保采购人在有需要时及时联系，供应商须提供365天×24小时及时的咨询、指导和紧急维护服务</w:t>
      </w:r>
      <w:r>
        <w:rPr>
          <w:rFonts w:hint="eastAsia" w:ascii="宋体" w:hAnsi="宋体" w:eastAsia="宋体" w:cs="宋体"/>
          <w:color w:val="auto"/>
          <w:sz w:val="24"/>
          <w:szCs w:val="24"/>
          <w:highlight w:val="none"/>
          <w:shd w:val="clear" w:color="auto" w:fill="auto"/>
          <w:lang w:eastAsia="zh-CN"/>
        </w:rPr>
        <w:t>。</w:t>
      </w:r>
      <w:r>
        <w:rPr>
          <w:rFonts w:hint="eastAsia" w:ascii="宋体" w:hAnsi="宋体" w:cs="宋体"/>
          <w:color w:val="FF0000"/>
          <w:sz w:val="24"/>
          <w:szCs w:val="24"/>
          <w:highlight w:val="none"/>
          <w:shd w:val="clear" w:color="auto" w:fill="auto"/>
          <w:lang w:val="en-US" w:eastAsia="zh-CN"/>
        </w:rPr>
        <w:t>供应商须提供绿化维护的相关资料，包括水印图片、工作量单等季度小结、年度总结等。</w:t>
      </w:r>
    </w:p>
    <w:p w14:paraId="0C6A87C4">
      <w:pPr>
        <w:pStyle w:val="2"/>
        <w:keepNext w:val="0"/>
        <w:keepLines w:val="0"/>
        <w:pageBreakBefore w:val="0"/>
        <w:widowControl w:val="0"/>
        <w:kinsoku/>
        <w:wordWrap/>
        <w:overflowPunct/>
        <w:topLinePunct w:val="0"/>
        <w:autoSpaceDE/>
        <w:autoSpaceDN/>
        <w:bidi w:val="0"/>
        <w:adjustRightInd/>
        <w:snapToGrid/>
        <w:spacing w:after="0" w:line="400" w:lineRule="exact"/>
        <w:ind w:right="0" w:firstLine="480" w:firstLineChars="200"/>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（2）服务期间采购人将对供应商服务质量、服务效率、服务态度等方面进行考核，根据考核结果进行费用结算，采购人有权对考核内容作出调整。</w:t>
      </w:r>
    </w:p>
    <w:p w14:paraId="108B5228">
      <w:pPr>
        <w:pStyle w:val="2"/>
        <w:keepNext w:val="0"/>
        <w:keepLines w:val="0"/>
        <w:pageBreakBefore w:val="0"/>
        <w:widowControl w:val="0"/>
        <w:kinsoku/>
        <w:wordWrap/>
        <w:overflowPunct/>
        <w:topLinePunct w:val="0"/>
        <w:autoSpaceDE/>
        <w:autoSpaceDN/>
        <w:bidi w:val="0"/>
        <w:adjustRightInd/>
        <w:snapToGrid/>
        <w:spacing w:after="0" w:line="400" w:lineRule="exact"/>
        <w:ind w:right="0" w:firstLine="480" w:firstLineChars="200"/>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3）服务期间由供应商提供的所有服务内容相关的知识产权责任、安全责任、合法性及真实性责任等均由供应商全部承担，供应商提供的服务不存在侵犯第三方任何权益的情形，所有服务内容均应按照采购人要求保质保量完成。</w:t>
      </w:r>
    </w:p>
    <w:p w14:paraId="7EDB2528">
      <w:pPr>
        <w:pStyle w:val="2"/>
        <w:keepNext w:val="0"/>
        <w:keepLines w:val="0"/>
        <w:pageBreakBefore w:val="0"/>
        <w:widowControl w:val="0"/>
        <w:kinsoku/>
        <w:wordWrap/>
        <w:overflowPunct/>
        <w:topLinePunct w:val="0"/>
        <w:autoSpaceDE/>
        <w:autoSpaceDN/>
        <w:bidi w:val="0"/>
        <w:adjustRightInd/>
        <w:snapToGrid/>
        <w:spacing w:after="0" w:line="400" w:lineRule="exact"/>
        <w:ind w:right="0" w:firstLine="480" w:firstLineChars="200"/>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（4）供应商应全力以赴配合医院的各项迎检、节假日等活动安排，确保绿化环境质量符合医院需求。</w:t>
      </w:r>
    </w:p>
    <w:p w14:paraId="5959A453">
      <w:pPr>
        <w:pStyle w:val="2"/>
        <w:keepNext w:val="0"/>
        <w:keepLines w:val="0"/>
        <w:pageBreakBefore w:val="0"/>
        <w:widowControl w:val="0"/>
        <w:kinsoku/>
        <w:wordWrap/>
        <w:overflowPunct/>
        <w:topLinePunct w:val="0"/>
        <w:autoSpaceDE/>
        <w:autoSpaceDN/>
        <w:bidi w:val="0"/>
        <w:adjustRightInd/>
        <w:snapToGrid/>
        <w:spacing w:after="0" w:line="400" w:lineRule="exact"/>
        <w:ind w:right="0" w:firstLine="480" w:firstLineChars="200"/>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（5）合同期内如涉及科室盆栽增减等情况须由使用科室提出书面申请，采购人管理部门同意后方可执行，供应商不得擅自增减盆栽数量，否则采购人将按照涉及增减盆栽的双倍费用进行处罚。</w:t>
      </w:r>
    </w:p>
    <w:p w14:paraId="3F359063">
      <w:pPr>
        <w:pStyle w:val="3"/>
        <w:pageBreakBefore w:val="0"/>
        <w:numPr>
          <w:ilvl w:val="0"/>
          <w:numId w:val="0"/>
        </w:numPr>
        <w:kinsoku/>
        <w:wordWrap/>
        <w:overflowPunct/>
        <w:topLinePunct w:val="0"/>
        <w:autoSpaceDE/>
        <w:autoSpaceDN/>
        <w:bidi w:val="0"/>
        <w:adjustRightInd/>
        <w:snapToGrid/>
        <w:spacing w:line="400" w:lineRule="exact"/>
        <w:ind w:firstLine="480" w:firstLineChars="200"/>
        <w:rPr>
          <w:rFonts w:hint="eastAsia" w:eastAsia="宋体"/>
          <w:color w:val="auto"/>
          <w:highlight w:val="none"/>
          <w:shd w:val="clear" w:color="auto" w:fill="auto"/>
          <w:lang w:val="en-US" w:eastAsia="zh-CN"/>
        </w:rPr>
      </w:pPr>
      <w:r>
        <w:rPr>
          <w:rFonts w:hint="eastAsia" w:ascii="宋体" w:hAnsi="宋体" w:eastAsia="宋体" w:cs="宋体"/>
          <w:color w:val="auto"/>
          <w:sz w:val="24"/>
          <w:szCs w:val="24"/>
          <w:highlight w:val="none"/>
          <w:shd w:val="clear" w:color="auto" w:fill="auto"/>
          <w:lang w:eastAsia="zh-CN"/>
        </w:rPr>
        <w:t>（</w:t>
      </w:r>
      <w:r>
        <w:rPr>
          <w:rFonts w:hint="eastAsia" w:ascii="宋体" w:hAnsi="宋体" w:eastAsia="宋体" w:cs="宋体"/>
          <w:color w:val="auto"/>
          <w:sz w:val="24"/>
          <w:szCs w:val="24"/>
          <w:highlight w:val="none"/>
          <w:shd w:val="clear" w:color="auto" w:fill="auto"/>
        </w:rPr>
        <w:t>6）供应商需保证所有绿植正常存活、花卉正常开放，无疾病、无虫害</w:t>
      </w:r>
      <w:r>
        <w:rPr>
          <w:rFonts w:hint="eastAsia" w:ascii="宋体" w:hAnsi="宋体" w:cs="宋体"/>
          <w:color w:val="auto"/>
          <w:sz w:val="24"/>
          <w:szCs w:val="24"/>
          <w:highlight w:val="none"/>
          <w:shd w:val="clear" w:color="auto" w:fill="auto"/>
          <w:lang w:eastAsia="zh-CN"/>
        </w:rPr>
        <w:t>。</w:t>
      </w:r>
      <w:bookmarkStart w:id="10" w:name="_GoBack"/>
      <w:bookmarkEnd w:id="10"/>
    </w:p>
    <w:p w14:paraId="49953D48">
      <w:pPr>
        <w:pStyle w:val="6"/>
        <w:pageBreakBefore w:val="0"/>
        <w:kinsoku/>
        <w:wordWrap/>
        <w:overflowPunct/>
        <w:topLinePunct w:val="0"/>
        <w:autoSpaceDE/>
        <w:autoSpaceDN/>
        <w:bidi w:val="0"/>
        <w:adjustRightInd/>
        <w:snapToGrid/>
        <w:spacing w:line="400" w:lineRule="exact"/>
        <w:ind w:firstLine="480"/>
        <w:jc w:val="left"/>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kern w:val="2"/>
          <w:sz w:val="24"/>
          <w:szCs w:val="24"/>
          <w:highlight w:val="none"/>
          <w:shd w:val="clear" w:color="auto" w:fill="auto"/>
          <w:lang w:val="en-US" w:eastAsia="zh-CN" w:bidi="ar-SA"/>
        </w:rPr>
        <w:t>（</w:t>
      </w:r>
      <w:r>
        <w:rPr>
          <w:rFonts w:hint="eastAsia" w:ascii="宋体" w:hAnsi="宋体" w:cs="宋体"/>
          <w:color w:val="auto"/>
          <w:kern w:val="2"/>
          <w:sz w:val="24"/>
          <w:szCs w:val="24"/>
          <w:highlight w:val="none"/>
          <w:shd w:val="clear" w:color="auto" w:fill="auto"/>
          <w:lang w:val="en-US" w:eastAsia="zh-CN" w:bidi="ar-SA"/>
        </w:rPr>
        <w:t>7</w:t>
      </w:r>
      <w:r>
        <w:rPr>
          <w:rFonts w:hint="eastAsia" w:ascii="宋体" w:hAnsi="宋体" w:eastAsia="宋体" w:cs="宋体"/>
          <w:color w:val="auto"/>
          <w:kern w:val="2"/>
          <w:sz w:val="24"/>
          <w:szCs w:val="24"/>
          <w:highlight w:val="none"/>
          <w:shd w:val="clear" w:color="auto" w:fill="auto"/>
          <w:lang w:val="en-US" w:eastAsia="zh-CN" w:bidi="ar-SA"/>
        </w:rPr>
        <w:t>）报价要求：盆栽租赁费用为固定单价，根据采购人实际需求进行按实结算，绿化维护费用为固定总价（包括所有维护项目，合同期内采购人不再另外支付其他费用），供应商报价已包含人力成本、工具、运输、吊装、税金以及因维护采购人绿化正常生长所需的一切费用，合同期内盆栽单价和绿化维护费用均不做价格调整。本项目为最低评标价法，响应文件应满足采购文件全部实质性要求且供应商响应报价（盆栽租赁和绿化维护1年总费用）最低的供应商为成交候选人。</w:t>
      </w:r>
    </w:p>
    <w:p w14:paraId="4593555D">
      <w:pPr>
        <w:pStyle w:val="3"/>
        <w:pageBreakBefore w:val="0"/>
        <w:numPr>
          <w:ilvl w:val="0"/>
          <w:numId w:val="0"/>
        </w:numPr>
        <w:kinsoku/>
        <w:wordWrap/>
        <w:overflowPunct/>
        <w:topLinePunct w:val="0"/>
        <w:autoSpaceDE/>
        <w:autoSpaceDN/>
        <w:bidi w:val="0"/>
        <w:adjustRightInd/>
        <w:snapToGrid/>
        <w:spacing w:line="400" w:lineRule="exact"/>
        <w:ind w:leftChars="0" w:firstLine="480" w:firstLineChars="200"/>
        <w:rPr>
          <w:rFonts w:hint="eastAsia" w:ascii="宋体" w:hAnsi="宋体" w:eastAsia="宋体" w:cs="宋体"/>
          <w:b w:val="0"/>
          <w:bCs w:val="0"/>
          <w:color w:val="auto"/>
          <w:kern w:val="0"/>
          <w:sz w:val="24"/>
          <w:szCs w:val="24"/>
          <w:lang w:val="en-US" w:eastAsia="zh-CN" w:bidi="ar-SA"/>
        </w:rPr>
      </w:pPr>
    </w:p>
    <w:p w14:paraId="7499E4EB">
      <w:pPr>
        <w:pStyle w:val="3"/>
        <w:pageBreakBefore w:val="0"/>
        <w:numPr>
          <w:ilvl w:val="0"/>
          <w:numId w:val="0"/>
        </w:numPr>
        <w:kinsoku/>
        <w:wordWrap/>
        <w:overflowPunct/>
        <w:topLinePunct w:val="0"/>
        <w:autoSpaceDE/>
        <w:autoSpaceDN/>
        <w:bidi w:val="0"/>
        <w:adjustRightInd/>
        <w:snapToGrid/>
        <w:spacing w:line="400" w:lineRule="exact"/>
        <w:ind w:leftChars="0" w:firstLine="480" w:firstLineChars="200"/>
        <w:rPr>
          <w:rFonts w:hint="eastAsia" w:ascii="宋体" w:hAnsi="宋体" w:eastAsia="宋体" w:cs="宋体"/>
          <w:b w:val="0"/>
          <w:bCs w:val="0"/>
          <w:color w:val="auto"/>
          <w:kern w:val="0"/>
          <w:sz w:val="24"/>
          <w:szCs w:val="24"/>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jUxYWNhOWQzNjNiYWY0NDgyZjIzNTNhMmNiMmFlNDQifQ=="/>
    <w:docVar w:name="KSO_WPS_MARK_KEY" w:val="d2fe8f2d-7a05-404e-8631-3e9e8a95f250"/>
  </w:docVars>
  <w:rsids>
    <w:rsidRoot w:val="0060493D"/>
    <w:rsid w:val="00070353"/>
    <w:rsid w:val="001A5570"/>
    <w:rsid w:val="001C45A8"/>
    <w:rsid w:val="0022005D"/>
    <w:rsid w:val="00260AA1"/>
    <w:rsid w:val="002717AE"/>
    <w:rsid w:val="003E7360"/>
    <w:rsid w:val="00430335"/>
    <w:rsid w:val="00437B38"/>
    <w:rsid w:val="00502679"/>
    <w:rsid w:val="005B0F9A"/>
    <w:rsid w:val="0060493D"/>
    <w:rsid w:val="0066299C"/>
    <w:rsid w:val="006B1DFC"/>
    <w:rsid w:val="00791F63"/>
    <w:rsid w:val="00852B39"/>
    <w:rsid w:val="00914A83"/>
    <w:rsid w:val="0092215F"/>
    <w:rsid w:val="00950507"/>
    <w:rsid w:val="009643CC"/>
    <w:rsid w:val="00A24BC4"/>
    <w:rsid w:val="00A95AD4"/>
    <w:rsid w:val="00B76B3D"/>
    <w:rsid w:val="00C0390F"/>
    <w:rsid w:val="00C102B1"/>
    <w:rsid w:val="00DA685C"/>
    <w:rsid w:val="00DA6E58"/>
    <w:rsid w:val="00DE3DFC"/>
    <w:rsid w:val="00DF2BF8"/>
    <w:rsid w:val="00E04538"/>
    <w:rsid w:val="00E2611C"/>
    <w:rsid w:val="00F15879"/>
    <w:rsid w:val="00FB3AE6"/>
    <w:rsid w:val="00FB7900"/>
    <w:rsid w:val="00FD743D"/>
    <w:rsid w:val="00FF2D59"/>
    <w:rsid w:val="01D66EA8"/>
    <w:rsid w:val="023E7883"/>
    <w:rsid w:val="05720500"/>
    <w:rsid w:val="153B40D2"/>
    <w:rsid w:val="1D1A66F9"/>
    <w:rsid w:val="1D8A0330"/>
    <w:rsid w:val="2018198A"/>
    <w:rsid w:val="2327783C"/>
    <w:rsid w:val="235F045D"/>
    <w:rsid w:val="25C41B6B"/>
    <w:rsid w:val="29A4237F"/>
    <w:rsid w:val="2F6C69B6"/>
    <w:rsid w:val="308507BF"/>
    <w:rsid w:val="34042BA4"/>
    <w:rsid w:val="35CB616D"/>
    <w:rsid w:val="364049F9"/>
    <w:rsid w:val="3B1F0857"/>
    <w:rsid w:val="3B586F42"/>
    <w:rsid w:val="3F9457CD"/>
    <w:rsid w:val="40604770"/>
    <w:rsid w:val="40AF050F"/>
    <w:rsid w:val="41AF7158"/>
    <w:rsid w:val="43790D20"/>
    <w:rsid w:val="47794E4B"/>
    <w:rsid w:val="479A189B"/>
    <w:rsid w:val="4A2770A9"/>
    <w:rsid w:val="4BC8377F"/>
    <w:rsid w:val="4BFC7649"/>
    <w:rsid w:val="60164DBF"/>
    <w:rsid w:val="6051650D"/>
    <w:rsid w:val="62B12960"/>
    <w:rsid w:val="63E71EC3"/>
    <w:rsid w:val="6A521800"/>
    <w:rsid w:val="6BA476DC"/>
    <w:rsid w:val="6D714693"/>
    <w:rsid w:val="6ED077E5"/>
    <w:rsid w:val="6F0C1BC9"/>
    <w:rsid w:val="6F4961CF"/>
    <w:rsid w:val="7BAD1D78"/>
    <w:rsid w:val="7DDB258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5">
    <w:name w:val="heading 2"/>
    <w:basedOn w:val="1"/>
    <w:next w:val="1"/>
    <w:link w:val="15"/>
    <w:unhideWhenUsed/>
    <w:qFormat/>
    <w:uiPriority w:val="0"/>
    <w:pPr>
      <w:keepNext/>
      <w:keepLines/>
      <w:spacing w:before="260" w:after="260" w:line="415" w:lineRule="auto"/>
      <w:outlineLvl w:val="1"/>
    </w:pPr>
    <w:rPr>
      <w:rFonts w:ascii="Arial" w:hAnsi="Arial" w:eastAsia="黑体"/>
      <w:b/>
      <w:bCs/>
      <w:sz w:val="32"/>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ascii="Calibri"/>
    </w:rPr>
  </w:style>
  <w:style w:type="paragraph" w:styleId="3">
    <w:name w:val="Body Text First Indent"/>
    <w:basedOn w:val="2"/>
    <w:unhideWhenUsed/>
    <w:qFormat/>
    <w:uiPriority w:val="99"/>
    <w:pPr>
      <w:ind w:firstLine="420" w:firstLineChars="100"/>
    </w:pPr>
  </w:style>
  <w:style w:type="paragraph" w:styleId="6">
    <w:name w:val="Normal Indent"/>
    <w:basedOn w:val="1"/>
    <w:link w:val="16"/>
    <w:semiHidden/>
    <w:unhideWhenUsed/>
    <w:qFormat/>
    <w:uiPriority w:val="0"/>
    <w:pPr>
      <w:ind w:firstLine="420" w:firstLineChars="200"/>
    </w:pPr>
    <w:rPr>
      <w:rFonts w:asciiTheme="minorHAnsi" w:hAnsiTheme="minorHAnsi" w:eastAsiaTheme="minorEastAsia" w:cstheme="minorBidi"/>
    </w:rPr>
  </w:style>
  <w:style w:type="paragraph" w:styleId="7">
    <w:name w:val="Balloon Text"/>
    <w:basedOn w:val="1"/>
    <w:link w:val="26"/>
    <w:semiHidden/>
    <w:unhideWhenUsed/>
    <w:qFormat/>
    <w:uiPriority w:val="99"/>
    <w:rPr>
      <w:sz w:val="18"/>
      <w:szCs w:val="18"/>
    </w:rPr>
  </w:style>
  <w:style w:type="paragraph" w:styleId="8">
    <w:name w:val="footer"/>
    <w:basedOn w:val="1"/>
    <w:link w:val="14"/>
    <w:semiHidden/>
    <w:unhideWhenUsed/>
    <w:qFormat/>
    <w:uiPriority w:val="99"/>
    <w:pPr>
      <w:tabs>
        <w:tab w:val="center" w:pos="4153"/>
        <w:tab w:val="right" w:pos="8306"/>
      </w:tabs>
      <w:snapToGrid w:val="0"/>
      <w:jc w:val="left"/>
    </w:pPr>
    <w:rPr>
      <w:sz w:val="18"/>
      <w:szCs w:val="18"/>
    </w:rPr>
  </w:style>
  <w:style w:type="paragraph" w:styleId="9">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semiHidden/>
    <w:unhideWhenUsed/>
    <w:qFormat/>
    <w:uiPriority w:val="99"/>
    <w:rPr>
      <w:sz w:val="24"/>
    </w:rPr>
  </w:style>
  <w:style w:type="character" w:customStyle="1" w:styleId="13">
    <w:name w:val="页眉 Char"/>
    <w:basedOn w:val="12"/>
    <w:link w:val="9"/>
    <w:semiHidden/>
    <w:qFormat/>
    <w:uiPriority w:val="99"/>
    <w:rPr>
      <w:sz w:val="18"/>
      <w:szCs w:val="18"/>
    </w:rPr>
  </w:style>
  <w:style w:type="character" w:customStyle="1" w:styleId="14">
    <w:name w:val="页脚 Char"/>
    <w:basedOn w:val="12"/>
    <w:link w:val="8"/>
    <w:semiHidden/>
    <w:qFormat/>
    <w:uiPriority w:val="99"/>
    <w:rPr>
      <w:sz w:val="18"/>
      <w:szCs w:val="18"/>
    </w:rPr>
  </w:style>
  <w:style w:type="character" w:customStyle="1" w:styleId="15">
    <w:name w:val="标题 2 Char"/>
    <w:basedOn w:val="12"/>
    <w:link w:val="5"/>
    <w:qFormat/>
    <w:uiPriority w:val="0"/>
    <w:rPr>
      <w:rFonts w:ascii="Arial" w:hAnsi="Arial" w:eastAsia="黑体" w:cs="Times New Roman"/>
      <w:b/>
      <w:bCs/>
      <w:sz w:val="32"/>
      <w:szCs w:val="32"/>
    </w:rPr>
  </w:style>
  <w:style w:type="character" w:customStyle="1" w:styleId="16">
    <w:name w:val="正文缩进 Char"/>
    <w:link w:val="6"/>
    <w:semiHidden/>
    <w:qFormat/>
    <w:locked/>
    <w:uiPriority w:val="0"/>
    <w:rPr>
      <w:szCs w:val="24"/>
    </w:rPr>
  </w:style>
  <w:style w:type="paragraph" w:customStyle="1" w:styleId="17">
    <w:name w:val="Default"/>
    <w:basedOn w:val="1"/>
    <w:qFormat/>
    <w:uiPriority w:val="0"/>
    <w:pPr>
      <w:autoSpaceDE w:val="0"/>
      <w:autoSpaceDN w:val="0"/>
      <w:adjustRightInd w:val="0"/>
      <w:jc w:val="left"/>
    </w:pPr>
    <w:rPr>
      <w:rFonts w:ascii="Arial" w:hAnsi="Arial"/>
      <w:color w:val="000000"/>
      <w:kern w:val="0"/>
      <w:sz w:val="24"/>
    </w:rPr>
  </w:style>
  <w:style w:type="paragraph" w:customStyle="1" w:styleId="1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styleId="19">
    <w:name w:val="List Paragraph"/>
    <w:basedOn w:val="1"/>
    <w:qFormat/>
    <w:uiPriority w:val="34"/>
    <w:pPr>
      <w:ind w:firstLine="420" w:firstLineChars="200"/>
    </w:pPr>
    <w:rPr>
      <w:rFonts w:asciiTheme="minorHAnsi" w:hAnsiTheme="minorHAnsi" w:eastAsiaTheme="minorEastAsia" w:cstheme="minorBidi"/>
      <w:szCs w:val="22"/>
    </w:rPr>
  </w:style>
  <w:style w:type="character" w:customStyle="1" w:styleId="20">
    <w:name w:val="font31"/>
    <w:basedOn w:val="12"/>
    <w:qFormat/>
    <w:uiPriority w:val="0"/>
    <w:rPr>
      <w:rFonts w:hint="default" w:ascii="Calibri" w:hAnsi="Calibri" w:cs="Calibri"/>
      <w:color w:val="000000"/>
      <w:sz w:val="22"/>
      <w:szCs w:val="22"/>
      <w:u w:val="none"/>
    </w:rPr>
  </w:style>
  <w:style w:type="character" w:customStyle="1" w:styleId="21">
    <w:name w:val="font01"/>
    <w:basedOn w:val="12"/>
    <w:qFormat/>
    <w:uiPriority w:val="0"/>
    <w:rPr>
      <w:rFonts w:hint="eastAsia" w:ascii="宋体" w:hAnsi="宋体" w:eastAsia="宋体" w:cs="宋体"/>
      <w:color w:val="000000"/>
      <w:sz w:val="22"/>
      <w:szCs w:val="22"/>
      <w:u w:val="none"/>
    </w:rPr>
  </w:style>
  <w:style w:type="character" w:customStyle="1" w:styleId="22">
    <w:name w:val="font61"/>
    <w:basedOn w:val="12"/>
    <w:qFormat/>
    <w:uiPriority w:val="0"/>
    <w:rPr>
      <w:rFonts w:hint="default" w:ascii="Calibri" w:hAnsi="Calibri" w:cs="Calibri"/>
      <w:color w:val="000000"/>
      <w:sz w:val="22"/>
      <w:szCs w:val="22"/>
      <w:u w:val="none"/>
    </w:rPr>
  </w:style>
  <w:style w:type="character" w:customStyle="1" w:styleId="23">
    <w:name w:val="font41"/>
    <w:basedOn w:val="12"/>
    <w:qFormat/>
    <w:uiPriority w:val="0"/>
    <w:rPr>
      <w:rFonts w:hint="eastAsia" w:ascii="宋体" w:hAnsi="宋体" w:eastAsia="宋体" w:cs="宋体"/>
      <w:color w:val="000000"/>
      <w:sz w:val="22"/>
      <w:szCs w:val="22"/>
      <w:u w:val="none"/>
    </w:rPr>
  </w:style>
  <w:style w:type="character" w:customStyle="1" w:styleId="24">
    <w:name w:val="font21"/>
    <w:basedOn w:val="12"/>
    <w:qFormat/>
    <w:uiPriority w:val="0"/>
    <w:rPr>
      <w:rFonts w:hint="eastAsia" w:ascii="宋体" w:hAnsi="宋体" w:eastAsia="宋体" w:cs="宋体"/>
      <w:color w:val="000000"/>
      <w:sz w:val="22"/>
      <w:szCs w:val="22"/>
      <w:u w:val="none"/>
    </w:rPr>
  </w:style>
  <w:style w:type="paragraph" w:customStyle="1" w:styleId="25">
    <w:name w:val="样式 首行缩进:  2 字符"/>
    <w:basedOn w:val="1"/>
    <w:qFormat/>
    <w:uiPriority w:val="0"/>
    <w:pPr>
      <w:spacing w:line="400" w:lineRule="exact"/>
      <w:ind w:firstLine="200" w:firstLineChars="200"/>
    </w:pPr>
    <w:rPr>
      <w:rFonts w:cs="宋体"/>
      <w:sz w:val="24"/>
    </w:rPr>
  </w:style>
  <w:style w:type="character" w:customStyle="1" w:styleId="26">
    <w:name w:val="批注框文本 Char"/>
    <w:basedOn w:val="12"/>
    <w:link w:val="7"/>
    <w:semiHidden/>
    <w:qFormat/>
    <w:uiPriority w:val="99"/>
    <w:rPr>
      <w:kern w:val="2"/>
      <w:sz w:val="18"/>
      <w:szCs w:val="18"/>
    </w:rPr>
  </w:style>
  <w:style w:type="paragraph" w:customStyle="1" w:styleId="27">
    <w:name w:val="列出段落1"/>
    <w:basedOn w:val="1"/>
    <w:qFormat/>
    <w:uiPriority w:val="34"/>
    <w:pPr>
      <w:widowControl/>
      <w:ind w:firstLine="420" w:firstLineChars="200"/>
      <w:jc w:val="left"/>
    </w:pPr>
    <w:rPr>
      <w:rFonts w:hAnsi="宋体" w:cs="宋体"/>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Pages>
  <Words>2045</Words>
  <Characters>2092</Characters>
  <Lines>3</Lines>
  <Paragraphs>1</Paragraphs>
  <TotalTime>18</TotalTime>
  <ScaleCrop>false</ScaleCrop>
  <LinksUpToDate>false</LinksUpToDate>
  <CharactersWithSpaces>2456</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2023-02-22T00:46:00Z</dcterms:created>
  <dc:creator>HP</dc:creator>
  <cp:lastModifiedBy>罗春英</cp:lastModifiedBy>
  <cp:lastPrinted>2025-01-07T01:07:00Z</cp:lastPrinted>
  <dcterms:modified xsi:type="dcterms:W3CDTF">2025-05-23T04:54:34Z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7FB35919F0CE4014A20D5679CEF27AD4</vt:lpwstr>
  </property>
  <property fmtid="{D5CDD505-2E9C-101B-9397-08002B2CF9AE}" pid="4" name="KSOTemplateDocerSaveRecord">
    <vt:lpwstr>eyJoZGlkIjoiODIxYmVhMGNlMjFmMTM4N2M0ZDgzNDFhNTNlODllY2IiLCJ1c2VySWQiOiI0MzQxNTU2ODAifQ==</vt:lpwstr>
  </property>
</Properties>
</file>