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pageBreakBefore w:val="0"/>
        <w:widowControl w:val="0"/>
        <w:kinsoku/>
        <w:wordWrap/>
        <w:overflowPunct/>
        <w:topLinePunct w:val="0"/>
        <w:autoSpaceDE/>
        <w:autoSpaceDN/>
        <w:bidi w:val="0"/>
        <w:adjustRightInd/>
        <w:snapToGrid/>
        <w:spacing w:before="0" w:beforeLines="0" w:after="0" w:afterLines="0" w:line="560" w:lineRule="exact"/>
        <w:jc w:val="center"/>
        <w:textAlignment w:val="auto"/>
        <w:rPr>
          <w:rFonts w:hint="eastAsia" w:ascii="方正小标宋简体" w:hAnsi="方正小标宋简体" w:eastAsia="方正小标宋简体" w:cs="方正小标宋简体"/>
          <w:b w:val="0"/>
          <w:bCs/>
          <w:color w:val="auto"/>
          <w:highlight w:val="none"/>
        </w:rPr>
      </w:pPr>
      <w:r>
        <w:rPr>
          <w:rFonts w:hint="eastAsia" w:ascii="方正小标宋简体" w:hAnsi="方正小标宋简体" w:eastAsia="方正小标宋简体" w:cs="方正小标宋简体"/>
          <w:b w:val="0"/>
          <w:bCs/>
          <w:color w:val="auto"/>
          <w:highlight w:val="none"/>
        </w:rPr>
        <w:t>富顺县中医医院</w:t>
      </w:r>
    </w:p>
    <w:p>
      <w:pPr>
        <w:pStyle w:val="3"/>
        <w:pageBreakBefore w:val="0"/>
        <w:widowControl w:val="0"/>
        <w:kinsoku/>
        <w:wordWrap/>
        <w:overflowPunct/>
        <w:topLinePunct w:val="0"/>
        <w:autoSpaceDE/>
        <w:autoSpaceDN/>
        <w:bidi w:val="0"/>
        <w:adjustRightInd/>
        <w:snapToGrid/>
        <w:spacing w:before="0" w:beforeLines="0" w:after="0" w:afterLines="0" w:line="560" w:lineRule="exact"/>
        <w:jc w:val="center"/>
        <w:textAlignment w:val="auto"/>
        <w:rPr>
          <w:rFonts w:hint="default" w:ascii="方正小标宋简体" w:hAnsi="方正小标宋简体" w:eastAsia="方正小标宋简体" w:cs="方正小标宋简体"/>
          <w:b w:val="0"/>
          <w:bCs/>
          <w:color w:val="auto"/>
          <w:highlight w:val="none"/>
          <w:shd w:val="clear" w:color="auto" w:fill="auto"/>
          <w:lang w:val="en-US"/>
        </w:rPr>
      </w:pPr>
      <w:r>
        <w:rPr>
          <w:rFonts w:hint="eastAsia" w:ascii="方正小标宋简体" w:hAnsi="方正小标宋简体" w:eastAsia="方正小标宋简体" w:cs="方正小标宋简体"/>
          <w:b w:val="0"/>
          <w:bCs/>
          <w:color w:val="auto"/>
          <w:highlight w:val="none"/>
          <w:lang w:val="en-US" w:eastAsia="zh-CN"/>
        </w:rPr>
        <w:t>2026-2027年</w:t>
      </w:r>
      <w:r>
        <w:rPr>
          <w:rFonts w:hint="eastAsia" w:ascii="方正小标宋简体" w:hAnsi="方正小标宋简体" w:eastAsia="方正小标宋简体" w:cs="方正小标宋简体"/>
          <w:b w:val="0"/>
          <w:bCs/>
          <w:color w:val="auto"/>
          <w:highlight w:val="none"/>
        </w:rPr>
        <w:t>直购电服务</w:t>
      </w:r>
      <w:r>
        <w:rPr>
          <w:rFonts w:hint="eastAsia" w:ascii="方正小标宋简体" w:hAnsi="方正小标宋简体" w:eastAsia="方正小标宋简体" w:cs="方正小标宋简体"/>
          <w:b w:val="0"/>
          <w:bCs/>
          <w:color w:val="auto"/>
          <w:highlight w:val="none"/>
          <w:lang w:val="en-US" w:eastAsia="zh-CN"/>
        </w:rPr>
        <w:t>采购需求</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0"/>
          <w:szCs w:val="30"/>
          <w:highlight w:val="none"/>
          <w:shd w:val="clear" w:color="auto" w:fill="auto"/>
          <w:lang w:val="en-US" w:eastAsia="zh-CN"/>
        </w:rPr>
      </w:pPr>
    </w:p>
    <w:p>
      <w:pPr>
        <w:pStyle w:val="10"/>
        <w:keepNext w:val="0"/>
        <w:keepLines w:val="0"/>
        <w:pageBreakBefore w:val="0"/>
        <w:kinsoku/>
        <w:wordWrap/>
        <w:overflowPunct/>
        <w:topLinePunct w:val="0"/>
        <w:autoSpaceDE/>
        <w:autoSpaceDN/>
        <w:bidi w:val="0"/>
        <w:adjustRightInd/>
        <w:snapToGrid/>
        <w:spacing w:line="400" w:lineRule="exact"/>
        <w:ind w:firstLine="600" w:firstLineChars="200"/>
        <w:textAlignment w:val="auto"/>
        <w:rPr>
          <w:rFonts w:hint="default" w:ascii="黑体" w:hAnsi="黑体" w:eastAsia="黑体" w:cs="黑体"/>
          <w:b w:val="0"/>
          <w:bCs/>
          <w:sz w:val="30"/>
          <w:szCs w:val="30"/>
          <w:lang w:val="en-US" w:eastAsia="zh-CN"/>
        </w:rPr>
      </w:pPr>
      <w:r>
        <w:rPr>
          <w:rFonts w:hint="eastAsia" w:ascii="黑体" w:hAnsi="黑体" w:eastAsia="黑体" w:cs="黑体"/>
          <w:b w:val="0"/>
          <w:bCs/>
          <w:sz w:val="30"/>
          <w:szCs w:val="30"/>
          <w:lang w:val="en-US" w:eastAsia="zh-CN"/>
        </w:rPr>
        <w:t>一</w:t>
      </w:r>
      <w:r>
        <w:rPr>
          <w:rFonts w:hint="eastAsia" w:ascii="黑体" w:hAnsi="黑体" w:eastAsia="黑体" w:cs="黑体"/>
          <w:b w:val="0"/>
          <w:bCs/>
          <w:sz w:val="30"/>
          <w:szCs w:val="30"/>
          <w:lang w:eastAsia="zh-CN"/>
        </w:rPr>
        <w:t>、</w:t>
      </w:r>
      <w:r>
        <w:rPr>
          <w:rFonts w:hint="eastAsia" w:ascii="黑体" w:hAnsi="黑体" w:eastAsia="黑体" w:cs="黑体"/>
          <w:b w:val="0"/>
          <w:bCs/>
          <w:sz w:val="30"/>
          <w:szCs w:val="30"/>
          <w:lang w:val="en-US" w:eastAsia="zh-CN"/>
        </w:rPr>
        <w:t>采购需求</w:t>
      </w:r>
    </w:p>
    <w:p>
      <w:pPr>
        <w:pStyle w:val="10"/>
        <w:keepNext w:val="0"/>
        <w:keepLines w:val="0"/>
        <w:pageBreakBefore w:val="0"/>
        <w:kinsoku/>
        <w:wordWrap/>
        <w:overflowPunct/>
        <w:topLinePunct w:val="0"/>
        <w:autoSpaceDE/>
        <w:autoSpaceDN/>
        <w:bidi w:val="0"/>
        <w:adjustRightInd/>
        <w:snapToGrid/>
        <w:spacing w:line="400" w:lineRule="exact"/>
        <w:ind w:firstLine="602" w:firstLineChars="200"/>
        <w:textAlignment w:val="auto"/>
        <w:rPr>
          <w:rFonts w:hint="default" w:ascii="仿宋" w:hAnsi="仿宋" w:eastAsia="仿宋" w:cs="仿宋"/>
          <w:b/>
          <w:sz w:val="30"/>
          <w:szCs w:val="30"/>
          <w:lang w:val="en-US"/>
        </w:rPr>
      </w:pPr>
      <w:r>
        <w:rPr>
          <w:rFonts w:hint="eastAsia" w:ascii="仿宋" w:hAnsi="仿宋" w:eastAsia="仿宋" w:cs="仿宋"/>
          <w:b/>
          <w:sz w:val="30"/>
          <w:szCs w:val="30"/>
          <w:lang w:eastAsia="zh-CN"/>
        </w:rPr>
        <w:t>（一）</w:t>
      </w:r>
      <w:r>
        <w:rPr>
          <w:rFonts w:hint="eastAsia" w:ascii="仿宋" w:hAnsi="仿宋" w:eastAsia="仿宋" w:cs="仿宋"/>
          <w:b/>
          <w:sz w:val="30"/>
          <w:szCs w:val="30"/>
          <w:lang w:val="en-US" w:eastAsia="zh-CN"/>
        </w:rPr>
        <w:t>采购内容</w:t>
      </w:r>
    </w:p>
    <w:p>
      <w:pPr>
        <w:keepNext w:val="0"/>
        <w:keepLines w:val="0"/>
        <w:pageBreakBefore w:val="0"/>
        <w:widowControl w:val="0"/>
        <w:kinsoku/>
        <w:wordWrap/>
        <w:overflowPunct/>
        <w:topLinePunct w:val="0"/>
        <w:autoSpaceDE/>
        <w:autoSpaceDN/>
        <w:bidi w:val="0"/>
        <w:adjustRightInd/>
        <w:snapToGrid/>
        <w:spacing w:line="400" w:lineRule="exact"/>
        <w:ind w:firstLine="600" w:firstLineChars="200"/>
        <w:textAlignment w:val="auto"/>
        <w:rPr>
          <w:rFonts w:hint="eastAsia" w:ascii="仿宋" w:hAnsi="仿宋" w:eastAsia="仿宋" w:cs="仿宋"/>
          <w:color w:val="auto"/>
          <w:sz w:val="30"/>
          <w:szCs w:val="30"/>
          <w:highlight w:val="none"/>
          <w:shd w:val="clear" w:color="auto" w:fill="auto"/>
          <w:lang w:val="en-US" w:eastAsia="zh-CN"/>
        </w:rPr>
      </w:pPr>
      <w:r>
        <w:rPr>
          <w:rFonts w:hint="eastAsia" w:ascii="仿宋" w:hAnsi="仿宋" w:eastAsia="仿宋" w:cs="仿宋"/>
          <w:color w:val="auto"/>
          <w:sz w:val="30"/>
          <w:szCs w:val="30"/>
          <w:highlight w:val="none"/>
          <w:shd w:val="clear" w:color="auto" w:fill="auto"/>
          <w:lang w:val="en-US" w:eastAsia="zh-CN"/>
        </w:rPr>
        <w:t>1.富顺县中医医院直购电服务；</w:t>
      </w:r>
    </w:p>
    <w:p>
      <w:pPr>
        <w:keepNext w:val="0"/>
        <w:keepLines w:val="0"/>
        <w:pageBreakBefore w:val="0"/>
        <w:widowControl w:val="0"/>
        <w:kinsoku/>
        <w:wordWrap/>
        <w:overflowPunct/>
        <w:topLinePunct w:val="0"/>
        <w:autoSpaceDE/>
        <w:autoSpaceDN/>
        <w:bidi w:val="0"/>
        <w:adjustRightInd/>
        <w:snapToGrid/>
        <w:spacing w:line="400" w:lineRule="exact"/>
        <w:ind w:firstLine="600" w:firstLineChars="200"/>
        <w:textAlignment w:val="auto"/>
        <w:rPr>
          <w:rFonts w:hint="eastAsia" w:ascii="仿宋" w:hAnsi="仿宋" w:eastAsia="仿宋" w:cs="仿宋"/>
          <w:color w:val="auto"/>
          <w:sz w:val="30"/>
          <w:szCs w:val="30"/>
          <w:highlight w:val="none"/>
          <w:shd w:val="clear" w:color="auto" w:fill="auto"/>
          <w:lang w:val="en-US" w:eastAsia="zh-CN"/>
        </w:rPr>
      </w:pPr>
      <w:r>
        <w:rPr>
          <w:rFonts w:hint="eastAsia" w:ascii="仿宋" w:hAnsi="仿宋" w:eastAsia="仿宋" w:cs="仿宋"/>
          <w:color w:val="auto"/>
          <w:sz w:val="30"/>
          <w:szCs w:val="30"/>
          <w:highlight w:val="none"/>
          <w:shd w:val="clear" w:color="auto" w:fill="auto"/>
          <w:lang w:val="en-US" w:eastAsia="zh-CN"/>
        </w:rPr>
        <w:t>2.富顺县中医医院电力运维免费服务（包含预试预检1次/年、季度巡检4次/年）。</w:t>
      </w:r>
    </w:p>
    <w:p>
      <w:pPr>
        <w:pStyle w:val="10"/>
        <w:keepNext w:val="0"/>
        <w:keepLines w:val="0"/>
        <w:pageBreakBefore w:val="0"/>
        <w:kinsoku/>
        <w:wordWrap/>
        <w:overflowPunct/>
        <w:topLinePunct w:val="0"/>
        <w:autoSpaceDE/>
        <w:autoSpaceDN/>
        <w:bidi w:val="0"/>
        <w:adjustRightInd/>
        <w:snapToGrid/>
        <w:spacing w:line="400" w:lineRule="exact"/>
        <w:ind w:firstLine="602" w:firstLineChars="200"/>
        <w:textAlignment w:val="auto"/>
        <w:rPr>
          <w:rFonts w:hint="eastAsia" w:ascii="仿宋" w:hAnsi="仿宋" w:eastAsia="仿宋" w:cs="仿宋"/>
          <w:b/>
          <w:sz w:val="30"/>
          <w:szCs w:val="30"/>
          <w:lang w:val="en-US" w:eastAsia="zh-CN"/>
        </w:rPr>
      </w:pPr>
      <w:r>
        <w:rPr>
          <w:rFonts w:hint="eastAsia" w:ascii="仿宋" w:hAnsi="仿宋" w:eastAsia="仿宋" w:cs="仿宋"/>
          <w:b/>
          <w:sz w:val="30"/>
          <w:szCs w:val="30"/>
          <w:lang w:val="en-US" w:eastAsia="zh-CN"/>
        </w:rPr>
        <w:t>（二）采购年限</w:t>
      </w:r>
    </w:p>
    <w:p>
      <w:pPr>
        <w:pStyle w:val="10"/>
        <w:keepNext w:val="0"/>
        <w:keepLines w:val="0"/>
        <w:pageBreakBefore w:val="0"/>
        <w:kinsoku/>
        <w:wordWrap/>
        <w:overflowPunct/>
        <w:topLinePunct w:val="0"/>
        <w:autoSpaceDE/>
        <w:autoSpaceDN/>
        <w:bidi w:val="0"/>
        <w:adjustRightInd/>
        <w:snapToGrid/>
        <w:spacing w:line="400" w:lineRule="exact"/>
        <w:ind w:firstLine="600" w:firstLineChars="200"/>
        <w:textAlignment w:val="auto"/>
        <w:rPr>
          <w:rFonts w:hint="default" w:ascii="仿宋" w:hAnsi="仿宋" w:eastAsia="仿宋" w:cs="仿宋"/>
          <w:color w:val="auto"/>
          <w:sz w:val="30"/>
          <w:szCs w:val="30"/>
          <w:highlight w:val="none"/>
          <w:shd w:val="clear" w:color="auto" w:fill="auto"/>
          <w:lang w:val="en-US" w:eastAsia="zh-CN"/>
        </w:rPr>
      </w:pPr>
      <w:r>
        <w:rPr>
          <w:rFonts w:hint="eastAsia" w:ascii="仿宋" w:hAnsi="仿宋" w:eastAsia="仿宋" w:cs="仿宋"/>
          <w:color w:val="auto"/>
          <w:kern w:val="2"/>
          <w:sz w:val="30"/>
          <w:szCs w:val="30"/>
          <w:highlight w:val="none"/>
          <w:shd w:val="clear" w:color="auto" w:fill="auto"/>
          <w:lang w:val="en-US" w:eastAsia="zh-CN" w:bidi="ar-SA"/>
        </w:rPr>
        <w:t>2026年1月1日-2027年12月31日，共计2年。</w:t>
      </w:r>
    </w:p>
    <w:p>
      <w:pPr>
        <w:keepNext w:val="0"/>
        <w:keepLines w:val="0"/>
        <w:pageBreakBefore w:val="0"/>
        <w:widowControl w:val="0"/>
        <w:kinsoku/>
        <w:wordWrap/>
        <w:overflowPunct/>
        <w:topLinePunct w:val="0"/>
        <w:autoSpaceDE/>
        <w:autoSpaceDN/>
        <w:bidi w:val="0"/>
        <w:adjustRightInd/>
        <w:snapToGrid/>
        <w:spacing w:line="400" w:lineRule="exact"/>
        <w:ind w:firstLine="602" w:firstLineChars="200"/>
        <w:textAlignment w:val="auto"/>
        <w:rPr>
          <w:rFonts w:hint="default" w:ascii="仿宋" w:hAnsi="仿宋" w:eastAsia="仿宋" w:cs="仿宋"/>
          <w:b/>
          <w:bCs/>
          <w:color w:val="auto"/>
          <w:sz w:val="30"/>
          <w:szCs w:val="30"/>
          <w:highlight w:val="none"/>
          <w:shd w:val="clear" w:color="auto" w:fill="auto"/>
          <w:lang w:val="en-US" w:eastAsia="zh-CN"/>
        </w:rPr>
      </w:pPr>
      <w:r>
        <w:rPr>
          <w:rFonts w:hint="eastAsia" w:ascii="仿宋" w:hAnsi="仿宋" w:eastAsia="仿宋" w:cs="仿宋"/>
          <w:b/>
          <w:bCs/>
          <w:color w:val="auto"/>
          <w:sz w:val="30"/>
          <w:szCs w:val="30"/>
          <w:highlight w:val="none"/>
          <w:shd w:val="clear" w:color="auto" w:fill="auto"/>
          <w:lang w:val="en-US" w:eastAsia="zh-CN"/>
        </w:rPr>
        <w:t>（三）采购预算</w:t>
      </w:r>
    </w:p>
    <w:p>
      <w:pPr>
        <w:keepNext w:val="0"/>
        <w:keepLines w:val="0"/>
        <w:pageBreakBefore w:val="0"/>
        <w:widowControl w:val="0"/>
        <w:kinsoku/>
        <w:wordWrap/>
        <w:overflowPunct/>
        <w:topLinePunct w:val="0"/>
        <w:autoSpaceDE/>
        <w:autoSpaceDN/>
        <w:bidi w:val="0"/>
        <w:adjustRightInd/>
        <w:snapToGrid/>
        <w:spacing w:line="400" w:lineRule="exact"/>
        <w:ind w:firstLine="600" w:firstLineChars="200"/>
        <w:textAlignment w:val="auto"/>
        <w:rPr>
          <w:rFonts w:hint="default" w:ascii="仿宋" w:hAnsi="仿宋" w:eastAsia="仿宋" w:cs="仿宋"/>
          <w:color w:val="auto"/>
          <w:sz w:val="30"/>
          <w:szCs w:val="30"/>
          <w:highlight w:val="none"/>
          <w:shd w:val="clear" w:color="auto" w:fill="auto"/>
          <w:lang w:val="en-US" w:eastAsia="zh-CN"/>
        </w:rPr>
      </w:pPr>
      <w:r>
        <w:rPr>
          <w:rFonts w:hint="eastAsia" w:ascii="仿宋" w:hAnsi="仿宋" w:eastAsia="仿宋" w:cs="仿宋"/>
          <w:color w:val="auto"/>
          <w:sz w:val="30"/>
          <w:szCs w:val="30"/>
          <w:highlight w:val="none"/>
          <w:shd w:val="clear" w:color="auto" w:fill="auto"/>
          <w:lang w:val="en-US" w:eastAsia="zh-CN"/>
        </w:rPr>
        <w:t>采购限额：两年9000000.00元。4500000.00元/年（服务履约期限结束后，未使用完的金额不纳入采购人下一年度使用）。</w:t>
      </w:r>
    </w:p>
    <w:p>
      <w:pPr>
        <w:keepNext w:val="0"/>
        <w:keepLines w:val="0"/>
        <w:pageBreakBefore w:val="0"/>
        <w:widowControl w:val="0"/>
        <w:kinsoku/>
        <w:wordWrap/>
        <w:overflowPunct/>
        <w:topLinePunct w:val="0"/>
        <w:autoSpaceDE/>
        <w:autoSpaceDN/>
        <w:bidi w:val="0"/>
        <w:adjustRightInd/>
        <w:snapToGrid/>
        <w:spacing w:line="400" w:lineRule="exact"/>
        <w:ind w:firstLine="602" w:firstLineChars="200"/>
        <w:textAlignment w:val="auto"/>
        <w:rPr>
          <w:rFonts w:hint="eastAsia" w:ascii="仿宋" w:hAnsi="仿宋" w:eastAsia="仿宋" w:cs="仿宋"/>
          <w:b/>
          <w:bCs/>
          <w:color w:val="auto"/>
          <w:sz w:val="30"/>
          <w:szCs w:val="30"/>
          <w:highlight w:val="none"/>
          <w:shd w:val="clear" w:color="auto" w:fill="auto"/>
          <w:lang w:val="en-US" w:eastAsia="zh-CN"/>
        </w:rPr>
      </w:pPr>
      <w:r>
        <w:rPr>
          <w:rFonts w:hint="eastAsia" w:ascii="仿宋" w:hAnsi="仿宋" w:eastAsia="仿宋" w:cs="仿宋"/>
          <w:b/>
          <w:bCs/>
          <w:color w:val="auto"/>
          <w:sz w:val="30"/>
          <w:szCs w:val="30"/>
          <w:highlight w:val="none"/>
          <w:shd w:val="clear" w:color="auto" w:fill="auto"/>
          <w:lang w:val="en-US" w:eastAsia="zh-CN"/>
        </w:rPr>
        <w:t>（四）项目清单</w:t>
      </w:r>
    </w:p>
    <w:p>
      <w:pPr>
        <w:keepNext w:val="0"/>
        <w:keepLines w:val="0"/>
        <w:pageBreakBefore w:val="0"/>
        <w:widowControl w:val="0"/>
        <w:kinsoku/>
        <w:wordWrap/>
        <w:overflowPunct/>
        <w:topLinePunct w:val="0"/>
        <w:autoSpaceDE/>
        <w:autoSpaceDN/>
        <w:bidi w:val="0"/>
        <w:adjustRightInd/>
        <w:snapToGrid/>
        <w:spacing w:line="400" w:lineRule="exact"/>
        <w:ind w:firstLine="600" w:firstLineChars="200"/>
        <w:textAlignment w:val="auto"/>
        <w:rPr>
          <w:rFonts w:hint="eastAsia" w:ascii="仿宋" w:hAnsi="仿宋" w:eastAsia="仿宋" w:cs="仿宋"/>
          <w:color w:val="auto"/>
          <w:sz w:val="30"/>
          <w:szCs w:val="30"/>
          <w:highlight w:val="none"/>
          <w:shd w:val="clear" w:color="auto" w:fill="auto"/>
          <w:lang w:val="en-US" w:eastAsia="zh-CN"/>
        </w:rPr>
      </w:pPr>
      <w:r>
        <w:rPr>
          <w:rFonts w:hint="eastAsia" w:ascii="仿宋" w:hAnsi="仿宋" w:eastAsia="仿宋" w:cs="仿宋"/>
          <w:color w:val="auto"/>
          <w:sz w:val="30"/>
          <w:szCs w:val="30"/>
          <w:highlight w:val="none"/>
          <w:shd w:val="clear" w:color="auto" w:fill="auto"/>
          <w:lang w:val="en-US" w:eastAsia="zh-CN"/>
        </w:rPr>
        <w:t>1.预估电量：富顺县中医医院年度预估电量（交易电量）如下，合计约6272兆瓦时（预估电量仅作为参考，以实际用电量为准，按照采购电价进行结算）：</w:t>
      </w:r>
    </w:p>
    <w:tbl>
      <w:tblPr>
        <w:tblStyle w:val="7"/>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08"/>
        <w:gridCol w:w="2116"/>
        <w:gridCol w:w="2116"/>
        <w:gridCol w:w="2120"/>
        <w:gridCol w:w="189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558"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月份</w:t>
            </w:r>
          </w:p>
        </w:tc>
        <w:tc>
          <w:tcPr>
            <w:tcW w:w="38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户号：预估电量（兆瓦时）</w:t>
            </w:r>
          </w:p>
        </w:tc>
        <w:tc>
          <w:tcPr>
            <w:tcW w:w="59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合计（兆瓦时）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55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u w:val="none"/>
              </w:rPr>
            </w:pPr>
          </w:p>
        </w:tc>
        <w:tc>
          <w:tcPr>
            <w:tcW w:w="1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5100288999652</w:t>
            </w:r>
          </w:p>
        </w:tc>
        <w:tc>
          <w:tcPr>
            <w:tcW w:w="1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5101046201387</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5101204377862</w:t>
            </w: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5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1月</w:t>
            </w:r>
          </w:p>
        </w:tc>
        <w:tc>
          <w:tcPr>
            <w:tcW w:w="1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w:t>
            </w:r>
          </w:p>
        </w:tc>
        <w:tc>
          <w:tcPr>
            <w:tcW w:w="1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372</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0.7</w:t>
            </w:r>
          </w:p>
        </w:tc>
        <w:tc>
          <w:tcPr>
            <w:tcW w:w="5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472.7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5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2月</w:t>
            </w:r>
          </w:p>
        </w:tc>
        <w:tc>
          <w:tcPr>
            <w:tcW w:w="1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93</w:t>
            </w:r>
          </w:p>
        </w:tc>
        <w:tc>
          <w:tcPr>
            <w:tcW w:w="1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335</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0.4</w:t>
            </w:r>
          </w:p>
        </w:tc>
        <w:tc>
          <w:tcPr>
            <w:tcW w:w="5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428.4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5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3月</w:t>
            </w:r>
          </w:p>
        </w:tc>
        <w:tc>
          <w:tcPr>
            <w:tcW w:w="1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74</w:t>
            </w:r>
          </w:p>
        </w:tc>
        <w:tc>
          <w:tcPr>
            <w:tcW w:w="1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295</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0.5</w:t>
            </w:r>
          </w:p>
        </w:tc>
        <w:tc>
          <w:tcPr>
            <w:tcW w:w="5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369.5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5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4月</w:t>
            </w:r>
          </w:p>
        </w:tc>
        <w:tc>
          <w:tcPr>
            <w:tcW w:w="1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56</w:t>
            </w:r>
          </w:p>
        </w:tc>
        <w:tc>
          <w:tcPr>
            <w:tcW w:w="1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275</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0.2</w:t>
            </w:r>
          </w:p>
        </w:tc>
        <w:tc>
          <w:tcPr>
            <w:tcW w:w="5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331.2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5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5月</w:t>
            </w:r>
          </w:p>
        </w:tc>
        <w:tc>
          <w:tcPr>
            <w:tcW w:w="1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64</w:t>
            </w:r>
          </w:p>
        </w:tc>
        <w:tc>
          <w:tcPr>
            <w:tcW w:w="1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378</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0.2</w:t>
            </w:r>
          </w:p>
        </w:tc>
        <w:tc>
          <w:tcPr>
            <w:tcW w:w="5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442.2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5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6月</w:t>
            </w:r>
          </w:p>
        </w:tc>
        <w:tc>
          <w:tcPr>
            <w:tcW w:w="1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67</w:t>
            </w:r>
          </w:p>
        </w:tc>
        <w:tc>
          <w:tcPr>
            <w:tcW w:w="1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460</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0.3</w:t>
            </w:r>
          </w:p>
        </w:tc>
        <w:tc>
          <w:tcPr>
            <w:tcW w:w="5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527.3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5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7月</w:t>
            </w:r>
          </w:p>
        </w:tc>
        <w:tc>
          <w:tcPr>
            <w:tcW w:w="1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110</w:t>
            </w:r>
          </w:p>
        </w:tc>
        <w:tc>
          <w:tcPr>
            <w:tcW w:w="1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715</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0.7</w:t>
            </w:r>
          </w:p>
        </w:tc>
        <w:tc>
          <w:tcPr>
            <w:tcW w:w="5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825.7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5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8月</w:t>
            </w:r>
          </w:p>
        </w:tc>
        <w:tc>
          <w:tcPr>
            <w:tcW w:w="1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130</w:t>
            </w:r>
          </w:p>
        </w:tc>
        <w:tc>
          <w:tcPr>
            <w:tcW w:w="1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785</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0.9</w:t>
            </w:r>
          </w:p>
        </w:tc>
        <w:tc>
          <w:tcPr>
            <w:tcW w:w="5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915.9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5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9月</w:t>
            </w:r>
          </w:p>
        </w:tc>
        <w:tc>
          <w:tcPr>
            <w:tcW w:w="1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110</w:t>
            </w:r>
          </w:p>
        </w:tc>
        <w:tc>
          <w:tcPr>
            <w:tcW w:w="1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700</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0.8</w:t>
            </w:r>
          </w:p>
        </w:tc>
        <w:tc>
          <w:tcPr>
            <w:tcW w:w="5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810.8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10月</w:t>
            </w:r>
          </w:p>
        </w:tc>
        <w:tc>
          <w:tcPr>
            <w:tcW w:w="1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w:t>
            </w:r>
          </w:p>
        </w:tc>
        <w:tc>
          <w:tcPr>
            <w:tcW w:w="1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295</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0.3</w:t>
            </w:r>
          </w:p>
        </w:tc>
        <w:tc>
          <w:tcPr>
            <w:tcW w:w="5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345.3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11月</w:t>
            </w:r>
          </w:p>
        </w:tc>
        <w:tc>
          <w:tcPr>
            <w:tcW w:w="1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60</w:t>
            </w:r>
          </w:p>
        </w:tc>
        <w:tc>
          <w:tcPr>
            <w:tcW w:w="1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285</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0.3</w:t>
            </w:r>
          </w:p>
        </w:tc>
        <w:tc>
          <w:tcPr>
            <w:tcW w:w="5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345.3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12月</w:t>
            </w:r>
          </w:p>
        </w:tc>
        <w:tc>
          <w:tcPr>
            <w:tcW w:w="1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102</w:t>
            </w:r>
          </w:p>
        </w:tc>
        <w:tc>
          <w:tcPr>
            <w:tcW w:w="1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355</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0.7</w:t>
            </w:r>
          </w:p>
        </w:tc>
        <w:tc>
          <w:tcPr>
            <w:tcW w:w="5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457.7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合计</w:t>
            </w:r>
          </w:p>
        </w:tc>
        <w:tc>
          <w:tcPr>
            <w:tcW w:w="1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1016</w:t>
            </w:r>
          </w:p>
        </w:tc>
        <w:tc>
          <w:tcPr>
            <w:tcW w:w="1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5250</w:t>
            </w:r>
          </w:p>
        </w:tc>
        <w:tc>
          <w:tcPr>
            <w:tcW w:w="12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w:t>
            </w:r>
          </w:p>
        </w:tc>
        <w:tc>
          <w:tcPr>
            <w:tcW w:w="5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6272</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auto"/>
          <w:sz w:val="30"/>
          <w:szCs w:val="30"/>
          <w:highlight w:val="none"/>
          <w:shd w:val="clear" w:color="auto" w:fill="auto"/>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auto"/>
          <w:sz w:val="30"/>
          <w:szCs w:val="30"/>
          <w:highlight w:val="none"/>
          <w:shd w:val="clear" w:color="auto" w:fill="auto"/>
          <w:lang w:val="en-US" w:eastAsia="zh-CN"/>
        </w:rPr>
      </w:pPr>
      <w:r>
        <w:rPr>
          <w:rFonts w:hint="eastAsia" w:ascii="仿宋" w:hAnsi="仿宋" w:eastAsia="仿宋" w:cs="仿宋"/>
          <w:color w:val="auto"/>
          <w:sz w:val="30"/>
          <w:szCs w:val="30"/>
          <w:highlight w:val="none"/>
          <w:shd w:val="clear" w:color="auto" w:fill="auto"/>
          <w:lang w:val="en-US" w:eastAsia="zh-CN"/>
        </w:rPr>
        <w:t>2.预防性试验项目清单</w:t>
      </w:r>
    </w:p>
    <w:tbl>
      <w:tblPr>
        <w:tblStyle w:val="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43"/>
        <w:gridCol w:w="1276"/>
        <w:gridCol w:w="4131"/>
        <w:gridCol w:w="781"/>
        <w:gridCol w:w="766"/>
        <w:gridCol w:w="136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序号</w:t>
            </w:r>
          </w:p>
        </w:tc>
        <w:tc>
          <w:tcPr>
            <w:tcW w:w="7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项目名称</w:t>
            </w:r>
          </w:p>
        </w:tc>
        <w:tc>
          <w:tcPr>
            <w:tcW w:w="227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检测保养描述</w:t>
            </w:r>
          </w:p>
        </w:tc>
        <w:tc>
          <w:tcPr>
            <w:tcW w:w="43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单位</w:t>
            </w:r>
          </w:p>
        </w:tc>
        <w:tc>
          <w:tcPr>
            <w:tcW w:w="4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数量</w:t>
            </w:r>
          </w:p>
        </w:tc>
        <w:tc>
          <w:tcPr>
            <w:tcW w:w="75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7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变压器</w:t>
            </w:r>
          </w:p>
        </w:tc>
        <w:tc>
          <w:tcPr>
            <w:tcW w:w="227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1、测量绕组直流电阻</w:t>
            </w:r>
            <w:r>
              <w:rPr>
                <w:rFonts w:hint="eastAsia"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2、变压器相位检测</w:t>
            </w:r>
            <w:r>
              <w:rPr>
                <w:rFonts w:hint="eastAsia"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3、绕组、铁芯绝缘测试</w:t>
            </w:r>
            <w:r>
              <w:rPr>
                <w:rFonts w:hint="eastAsia"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4、交流耐压试验</w:t>
            </w:r>
            <w:r>
              <w:rPr>
                <w:rFonts w:hint="eastAsia"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5、校核变压器接线组</w:t>
            </w:r>
            <w:r>
              <w:rPr>
                <w:rFonts w:hint="eastAsia"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6、变压器散热风机检查</w:t>
            </w:r>
            <w:r>
              <w:rPr>
                <w:rFonts w:hint="eastAsia"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7、温控仪高温报警检查</w:t>
            </w:r>
            <w:r>
              <w:rPr>
                <w:rFonts w:hint="eastAsia"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8、温控仪高温跳闸功能检查</w:t>
            </w:r>
            <w:r>
              <w:rPr>
                <w:rFonts w:hint="eastAsia"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9、变压器防护外罩壳、检修门检查</w:t>
            </w:r>
            <w:r>
              <w:rPr>
                <w:rFonts w:hint="eastAsia"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10、支撑绝缘瓷瓶、接地系统检查</w:t>
            </w:r>
            <w:r>
              <w:rPr>
                <w:rFonts w:hint="eastAsia"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11、比差测试</w:t>
            </w:r>
            <w:r>
              <w:rPr>
                <w:rFonts w:hint="eastAsia"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12、工频耐压试验</w:t>
            </w:r>
          </w:p>
        </w:tc>
        <w:tc>
          <w:tcPr>
            <w:tcW w:w="43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台</w:t>
            </w:r>
          </w:p>
        </w:tc>
        <w:tc>
          <w:tcPr>
            <w:tcW w:w="4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w:t>
            </w:r>
          </w:p>
        </w:tc>
        <w:tc>
          <w:tcPr>
            <w:tcW w:w="75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含三个配电室的绝缘器具（绝缘鞋，绝缘手套，试电笔，接地装置，安全帽等）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w:t>
            </w:r>
          </w:p>
        </w:tc>
        <w:tc>
          <w:tcPr>
            <w:tcW w:w="7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高压柜</w:t>
            </w:r>
          </w:p>
        </w:tc>
        <w:tc>
          <w:tcPr>
            <w:tcW w:w="227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1、绝缘电阻</w:t>
            </w:r>
            <w:r>
              <w:rPr>
                <w:rFonts w:hint="eastAsia"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2、交流耐压</w:t>
            </w:r>
            <w:r>
              <w:rPr>
                <w:rFonts w:hint="eastAsia"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3、导电回路电阻</w:t>
            </w:r>
            <w:r>
              <w:rPr>
                <w:rFonts w:hint="eastAsia"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4、继保调试</w:t>
            </w:r>
            <w:r>
              <w:rPr>
                <w:rFonts w:hint="eastAsia"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5、断路器调试</w:t>
            </w:r>
            <w:r>
              <w:rPr>
                <w:rFonts w:hint="eastAsia"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6、避雷器调试</w:t>
            </w:r>
            <w:r>
              <w:rPr>
                <w:rFonts w:hint="eastAsia"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7、互感器调试</w:t>
            </w:r>
            <w:r>
              <w:rPr>
                <w:rFonts w:hint="eastAsia"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8、断路器分合闸测试</w:t>
            </w:r>
            <w:r>
              <w:rPr>
                <w:rFonts w:hint="eastAsia"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9、继电保护整组传动</w:t>
            </w:r>
            <w:r>
              <w:rPr>
                <w:rFonts w:hint="eastAsia"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10、继保精度测试</w:t>
            </w:r>
            <w:r>
              <w:rPr>
                <w:rFonts w:hint="eastAsia"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11、二次回路绝缘测试</w:t>
            </w:r>
          </w:p>
        </w:tc>
        <w:tc>
          <w:tcPr>
            <w:tcW w:w="43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套</w:t>
            </w:r>
          </w:p>
        </w:tc>
        <w:tc>
          <w:tcPr>
            <w:tcW w:w="4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w:t>
            </w:r>
          </w:p>
        </w:tc>
        <w:tc>
          <w:tcPr>
            <w:tcW w:w="75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w:t>
            </w:r>
          </w:p>
        </w:tc>
        <w:tc>
          <w:tcPr>
            <w:tcW w:w="7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环网柜</w:t>
            </w:r>
          </w:p>
        </w:tc>
        <w:tc>
          <w:tcPr>
            <w:tcW w:w="227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1、绝缘电阻</w:t>
            </w:r>
            <w:r>
              <w:rPr>
                <w:rFonts w:hint="eastAsia"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2、交流耐压</w:t>
            </w:r>
            <w:r>
              <w:rPr>
                <w:rFonts w:hint="eastAsia"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3、导电回路电阻</w:t>
            </w:r>
            <w:r>
              <w:rPr>
                <w:rFonts w:hint="eastAsia"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4、避雷器调试</w:t>
            </w:r>
            <w:r>
              <w:rPr>
                <w:rFonts w:hint="eastAsia"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5、互感器调试</w:t>
            </w:r>
            <w:r>
              <w:rPr>
                <w:rFonts w:hint="eastAsia"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6、二次回路绝缘测试</w:t>
            </w:r>
          </w:p>
        </w:tc>
        <w:tc>
          <w:tcPr>
            <w:tcW w:w="43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套</w:t>
            </w:r>
          </w:p>
        </w:tc>
        <w:tc>
          <w:tcPr>
            <w:tcW w:w="4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w:t>
            </w:r>
          </w:p>
        </w:tc>
        <w:tc>
          <w:tcPr>
            <w:tcW w:w="75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w:t>
            </w:r>
          </w:p>
        </w:tc>
        <w:tc>
          <w:tcPr>
            <w:tcW w:w="7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电力电缆</w:t>
            </w:r>
          </w:p>
        </w:tc>
        <w:tc>
          <w:tcPr>
            <w:tcW w:w="227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1、绝缘电阻测试</w:t>
            </w:r>
            <w:r>
              <w:rPr>
                <w:rFonts w:hint="eastAsia"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2、直流耐压试验</w:t>
            </w:r>
          </w:p>
        </w:tc>
        <w:tc>
          <w:tcPr>
            <w:tcW w:w="43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条</w:t>
            </w:r>
          </w:p>
        </w:tc>
        <w:tc>
          <w:tcPr>
            <w:tcW w:w="4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w:t>
            </w:r>
          </w:p>
        </w:tc>
        <w:tc>
          <w:tcPr>
            <w:tcW w:w="75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1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w:t>
            </w:r>
          </w:p>
        </w:tc>
        <w:tc>
          <w:tcPr>
            <w:tcW w:w="7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接地系统</w:t>
            </w:r>
          </w:p>
        </w:tc>
        <w:tc>
          <w:tcPr>
            <w:tcW w:w="227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1、接地电阻测试</w:t>
            </w:r>
          </w:p>
        </w:tc>
        <w:tc>
          <w:tcPr>
            <w:tcW w:w="43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套</w:t>
            </w:r>
          </w:p>
        </w:tc>
        <w:tc>
          <w:tcPr>
            <w:tcW w:w="42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w:t>
            </w:r>
          </w:p>
        </w:tc>
        <w:tc>
          <w:tcPr>
            <w:tcW w:w="75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aps w:val="0"/>
                <w:color w:val="auto"/>
                <w:spacing w:val="0"/>
                <w:sz w:val="24"/>
                <w:szCs w:val="24"/>
                <w:shd w:val="clear" w:fill="FFFFFF"/>
              </w:rPr>
              <w:t>服务要求：严格按照Q/GDW519-2010国家电网公司企业标准《配电网运行规程》和国家对电力运行维保的相关规定和规范标准对医院10KV变配电设施设备进行维护、保养，完成变配电年检预试1次并根据国家规范要求出具检测报告，每季度定期巡检，提供24小时应急服务及技术支持，期限</w:t>
            </w:r>
            <w:r>
              <w:rPr>
                <w:rFonts w:hint="eastAsia" w:ascii="仿宋" w:hAnsi="仿宋" w:eastAsia="仿宋" w:cs="仿宋"/>
                <w:i w:val="0"/>
                <w:iCs w:val="0"/>
                <w:caps w:val="0"/>
                <w:color w:val="auto"/>
                <w:spacing w:val="0"/>
                <w:sz w:val="24"/>
                <w:szCs w:val="24"/>
                <w:shd w:val="clear" w:fill="FFFFFF"/>
                <w:lang w:val="en-US" w:eastAsia="zh-CN"/>
              </w:rPr>
              <w:t>2</w:t>
            </w:r>
            <w:r>
              <w:rPr>
                <w:rFonts w:hint="eastAsia" w:ascii="仿宋" w:hAnsi="仿宋" w:eastAsia="仿宋" w:cs="仿宋"/>
                <w:i w:val="0"/>
                <w:iCs w:val="0"/>
                <w:caps w:val="0"/>
                <w:color w:val="auto"/>
                <w:spacing w:val="0"/>
                <w:sz w:val="24"/>
                <w:szCs w:val="24"/>
                <w:shd w:val="clear" w:fill="FFFFFF"/>
              </w:rPr>
              <w:t>年。</w:t>
            </w:r>
          </w:p>
        </w:tc>
      </w:tr>
    </w:tbl>
    <w:p>
      <w:pPr>
        <w:pStyle w:val="10"/>
        <w:rPr>
          <w:rFonts w:hint="eastAsia" w:ascii="仿宋" w:hAnsi="仿宋" w:eastAsia="仿宋" w:cs="仿宋"/>
          <w:b/>
          <w:sz w:val="30"/>
          <w:szCs w:val="30"/>
          <w:lang w:eastAsia="zh-CN"/>
        </w:rPr>
      </w:pPr>
    </w:p>
    <w:p>
      <w:pPr>
        <w:pStyle w:val="10"/>
        <w:keepNext w:val="0"/>
        <w:keepLines w:val="0"/>
        <w:pageBreakBefore w:val="0"/>
        <w:kinsoku/>
        <w:wordWrap/>
        <w:overflowPunct/>
        <w:topLinePunct w:val="0"/>
        <w:autoSpaceDE/>
        <w:autoSpaceDN/>
        <w:bidi w:val="0"/>
        <w:adjustRightInd/>
        <w:snapToGrid/>
        <w:spacing w:beforeAutospacing="0" w:line="400" w:lineRule="exact"/>
        <w:ind w:firstLine="602" w:firstLineChars="200"/>
        <w:textAlignment w:val="auto"/>
        <w:rPr>
          <w:rFonts w:hint="default" w:ascii="仿宋" w:hAnsi="仿宋" w:eastAsia="仿宋" w:cs="仿宋"/>
          <w:b/>
          <w:bCs/>
          <w:sz w:val="30"/>
          <w:szCs w:val="30"/>
          <w:highlight w:val="none"/>
          <w:lang w:val="en-US" w:eastAsia="zh-CN"/>
        </w:rPr>
      </w:pPr>
      <w:r>
        <w:rPr>
          <w:rFonts w:hint="eastAsia" w:ascii="仿宋" w:hAnsi="仿宋" w:eastAsia="仿宋" w:cs="仿宋"/>
          <w:b/>
          <w:bCs/>
          <w:sz w:val="30"/>
          <w:szCs w:val="30"/>
          <w:highlight w:val="none"/>
          <w:lang w:val="en-US" w:eastAsia="zh-CN"/>
        </w:rPr>
        <w:t>★（五）服务要求</w:t>
      </w:r>
    </w:p>
    <w:p>
      <w:pPr>
        <w:pStyle w:val="10"/>
        <w:keepNext w:val="0"/>
        <w:keepLines w:val="0"/>
        <w:pageBreakBefore w:val="0"/>
        <w:kinsoku/>
        <w:wordWrap/>
        <w:overflowPunct/>
        <w:topLinePunct w:val="0"/>
        <w:autoSpaceDE/>
        <w:autoSpaceDN/>
        <w:bidi w:val="0"/>
        <w:adjustRightInd/>
        <w:snapToGrid/>
        <w:spacing w:beforeAutospacing="0" w:line="400" w:lineRule="exact"/>
        <w:ind w:firstLine="600" w:firstLineChars="200"/>
        <w:jc w:val="left"/>
        <w:textAlignment w:val="auto"/>
        <w:rPr>
          <w:rFonts w:hint="eastAsia" w:ascii="仿宋" w:hAnsi="仿宋" w:eastAsia="仿宋" w:cs="仿宋"/>
          <w:b w:val="0"/>
          <w:bCs w:val="0"/>
          <w:sz w:val="30"/>
          <w:szCs w:val="30"/>
          <w:highlight w:val="none"/>
          <w:lang w:val="en-US" w:eastAsia="zh-CN"/>
        </w:rPr>
      </w:pPr>
      <w:r>
        <w:rPr>
          <w:rFonts w:hint="eastAsia" w:ascii="仿宋" w:hAnsi="仿宋" w:eastAsia="仿宋" w:cs="仿宋"/>
          <w:b w:val="0"/>
          <w:bCs w:val="0"/>
          <w:sz w:val="30"/>
          <w:szCs w:val="30"/>
          <w:highlight w:val="none"/>
          <w:lang w:val="en-US" w:eastAsia="zh-CN"/>
        </w:rPr>
        <w:t>1.投标人须熟知直购电政策，向采购人提供购电代理交易服务，协助采购人申请办理直购电有关手续（协助办理过程中所产生的费用由投标人全部承担）。</w:t>
      </w:r>
    </w:p>
    <w:p>
      <w:pPr>
        <w:pStyle w:val="10"/>
        <w:keepNext w:val="0"/>
        <w:keepLines w:val="0"/>
        <w:pageBreakBefore w:val="0"/>
        <w:kinsoku/>
        <w:wordWrap/>
        <w:overflowPunct/>
        <w:topLinePunct w:val="0"/>
        <w:autoSpaceDE/>
        <w:autoSpaceDN/>
        <w:bidi w:val="0"/>
        <w:adjustRightInd/>
        <w:snapToGrid/>
        <w:spacing w:beforeAutospacing="0" w:line="400" w:lineRule="exact"/>
        <w:ind w:firstLine="600" w:firstLineChars="200"/>
        <w:jc w:val="left"/>
        <w:textAlignment w:val="auto"/>
        <w:rPr>
          <w:rFonts w:hint="eastAsia" w:ascii="仿宋" w:hAnsi="仿宋" w:eastAsia="仿宋" w:cs="仿宋"/>
          <w:b w:val="0"/>
          <w:bCs w:val="0"/>
          <w:sz w:val="30"/>
          <w:szCs w:val="30"/>
          <w:highlight w:val="none"/>
          <w:lang w:val="en-US" w:eastAsia="zh-CN"/>
        </w:rPr>
      </w:pPr>
      <w:r>
        <w:rPr>
          <w:rFonts w:hint="eastAsia" w:ascii="仿宋" w:hAnsi="仿宋" w:eastAsia="仿宋" w:cs="仿宋"/>
          <w:b w:val="0"/>
          <w:bCs w:val="0"/>
          <w:sz w:val="30"/>
          <w:szCs w:val="30"/>
          <w:highlight w:val="none"/>
          <w:lang w:val="en-US" w:eastAsia="zh-CN"/>
        </w:rPr>
        <w:t>2.向采购人提供季度、年度用电数据分析服务，分析内容应体现直购电服务的经济效用（履约期内同等用电量情况下节省电费支出的具体数据），同时根据采购人历史用电行为特征 、用电需求等特点，从行业特点、客户价值、用电需求等方面进行分析，为采购人提供用电建议。</w:t>
      </w:r>
    </w:p>
    <w:p>
      <w:pPr>
        <w:pStyle w:val="10"/>
        <w:keepNext w:val="0"/>
        <w:keepLines w:val="0"/>
        <w:pageBreakBefore w:val="0"/>
        <w:kinsoku/>
        <w:wordWrap/>
        <w:overflowPunct/>
        <w:topLinePunct w:val="0"/>
        <w:autoSpaceDE/>
        <w:autoSpaceDN/>
        <w:bidi w:val="0"/>
        <w:adjustRightInd/>
        <w:snapToGrid/>
        <w:spacing w:beforeAutospacing="0" w:line="400" w:lineRule="exact"/>
        <w:ind w:firstLine="600" w:firstLineChars="200"/>
        <w:jc w:val="left"/>
        <w:textAlignment w:val="auto"/>
        <w:rPr>
          <w:rFonts w:hint="eastAsia" w:ascii="仿宋" w:hAnsi="仿宋" w:eastAsia="仿宋" w:cs="仿宋"/>
          <w:b w:val="0"/>
          <w:bCs w:val="0"/>
          <w:sz w:val="30"/>
          <w:szCs w:val="30"/>
          <w:highlight w:val="none"/>
          <w:lang w:val="en-US" w:eastAsia="zh-CN"/>
        </w:rPr>
      </w:pPr>
      <w:r>
        <w:rPr>
          <w:rFonts w:hint="eastAsia" w:ascii="仿宋" w:hAnsi="仿宋" w:eastAsia="仿宋" w:cs="仿宋"/>
          <w:b w:val="0"/>
          <w:bCs w:val="0"/>
          <w:sz w:val="30"/>
          <w:szCs w:val="30"/>
          <w:highlight w:val="none"/>
          <w:lang w:val="en-US" w:eastAsia="zh-CN"/>
        </w:rPr>
        <w:t>3.向采购人提供交易规则、电价政策、电费补贴等政策咨询服务。</w:t>
      </w:r>
    </w:p>
    <w:p>
      <w:pPr>
        <w:pStyle w:val="10"/>
        <w:keepNext w:val="0"/>
        <w:keepLines w:val="0"/>
        <w:pageBreakBefore w:val="0"/>
        <w:kinsoku/>
        <w:wordWrap/>
        <w:overflowPunct/>
        <w:topLinePunct w:val="0"/>
        <w:autoSpaceDE/>
        <w:autoSpaceDN/>
        <w:bidi w:val="0"/>
        <w:adjustRightInd/>
        <w:snapToGrid/>
        <w:spacing w:beforeAutospacing="0" w:line="400" w:lineRule="exact"/>
        <w:ind w:firstLine="600" w:firstLineChars="200"/>
        <w:jc w:val="left"/>
        <w:textAlignment w:val="auto"/>
        <w:rPr>
          <w:rFonts w:hint="eastAsia" w:ascii="仿宋" w:hAnsi="仿宋" w:eastAsia="仿宋" w:cs="仿宋"/>
          <w:b w:val="0"/>
          <w:bCs w:val="0"/>
          <w:sz w:val="30"/>
          <w:szCs w:val="30"/>
          <w:highlight w:val="none"/>
          <w:lang w:val="en-US" w:eastAsia="zh-CN"/>
        </w:rPr>
      </w:pPr>
      <w:r>
        <w:rPr>
          <w:rFonts w:hint="eastAsia" w:ascii="仿宋" w:hAnsi="仿宋" w:eastAsia="仿宋" w:cs="仿宋"/>
          <w:b w:val="0"/>
          <w:bCs w:val="0"/>
          <w:sz w:val="30"/>
          <w:szCs w:val="30"/>
          <w:highlight w:val="none"/>
          <w:lang w:val="en-US" w:eastAsia="zh-CN"/>
        </w:rPr>
        <w:t>4.投标人须向采购人提供真实准确的有关电力直接交易的相关信息及资料，不得提供虚假的或误导性的信息。</w:t>
      </w:r>
    </w:p>
    <w:p>
      <w:pPr>
        <w:pStyle w:val="10"/>
        <w:keepNext w:val="0"/>
        <w:keepLines w:val="0"/>
        <w:pageBreakBefore w:val="0"/>
        <w:kinsoku/>
        <w:wordWrap/>
        <w:overflowPunct/>
        <w:topLinePunct w:val="0"/>
        <w:autoSpaceDE/>
        <w:autoSpaceDN/>
        <w:bidi w:val="0"/>
        <w:adjustRightInd/>
        <w:snapToGrid/>
        <w:spacing w:beforeAutospacing="0" w:line="400" w:lineRule="exact"/>
        <w:ind w:firstLine="600" w:firstLineChars="200"/>
        <w:jc w:val="left"/>
        <w:textAlignment w:val="auto"/>
        <w:rPr>
          <w:rFonts w:hint="eastAsia" w:ascii="仿宋" w:hAnsi="仿宋" w:eastAsia="仿宋" w:cs="仿宋"/>
          <w:b w:val="0"/>
          <w:bCs w:val="0"/>
          <w:sz w:val="30"/>
          <w:szCs w:val="30"/>
          <w:highlight w:val="none"/>
          <w:lang w:val="en-US" w:eastAsia="zh-CN"/>
        </w:rPr>
      </w:pPr>
      <w:r>
        <w:rPr>
          <w:rFonts w:hint="eastAsia" w:ascii="仿宋" w:hAnsi="仿宋" w:eastAsia="仿宋" w:cs="仿宋"/>
          <w:b w:val="0"/>
          <w:bCs w:val="0"/>
          <w:sz w:val="30"/>
          <w:szCs w:val="30"/>
          <w:highlight w:val="none"/>
          <w:lang w:val="en-US" w:eastAsia="zh-CN"/>
        </w:rPr>
        <w:t>5.依据四川电力市场有关交易规则及年度指导意见计算的偏差电量考核费由投标人全部承担。</w:t>
      </w:r>
    </w:p>
    <w:p>
      <w:pPr>
        <w:pStyle w:val="10"/>
        <w:keepNext w:val="0"/>
        <w:keepLines w:val="0"/>
        <w:pageBreakBefore w:val="0"/>
        <w:kinsoku/>
        <w:wordWrap/>
        <w:overflowPunct/>
        <w:topLinePunct w:val="0"/>
        <w:autoSpaceDE/>
        <w:autoSpaceDN/>
        <w:bidi w:val="0"/>
        <w:adjustRightInd/>
        <w:snapToGrid/>
        <w:spacing w:beforeAutospacing="0" w:line="400" w:lineRule="exact"/>
        <w:ind w:firstLine="600" w:firstLineChars="200"/>
        <w:jc w:val="left"/>
        <w:textAlignment w:val="auto"/>
        <w:rPr>
          <w:rFonts w:hint="eastAsia" w:ascii="仿宋" w:hAnsi="仿宋" w:eastAsia="仿宋" w:cs="仿宋"/>
          <w:b w:val="0"/>
          <w:bCs w:val="0"/>
          <w:sz w:val="30"/>
          <w:szCs w:val="30"/>
          <w:highlight w:val="none"/>
          <w:lang w:val="en-US" w:eastAsia="zh-CN"/>
        </w:rPr>
      </w:pPr>
      <w:r>
        <w:rPr>
          <w:rFonts w:hint="eastAsia" w:ascii="仿宋" w:hAnsi="仿宋" w:eastAsia="仿宋" w:cs="仿宋"/>
          <w:b w:val="0"/>
          <w:bCs w:val="0"/>
          <w:sz w:val="30"/>
          <w:szCs w:val="30"/>
          <w:highlight w:val="none"/>
          <w:lang w:val="en-US" w:eastAsia="zh-CN"/>
        </w:rPr>
        <w:t>6.供电保障：</w:t>
      </w:r>
    </w:p>
    <w:p>
      <w:pPr>
        <w:pStyle w:val="10"/>
        <w:keepNext w:val="0"/>
        <w:keepLines w:val="0"/>
        <w:pageBreakBefore w:val="0"/>
        <w:kinsoku/>
        <w:wordWrap/>
        <w:overflowPunct/>
        <w:topLinePunct w:val="0"/>
        <w:autoSpaceDE/>
        <w:autoSpaceDN/>
        <w:bidi w:val="0"/>
        <w:adjustRightInd/>
        <w:snapToGrid/>
        <w:spacing w:beforeAutospacing="0" w:line="400" w:lineRule="exact"/>
        <w:ind w:firstLine="600" w:firstLineChars="200"/>
        <w:jc w:val="left"/>
        <w:textAlignment w:val="auto"/>
        <w:rPr>
          <w:rFonts w:hint="eastAsia" w:ascii="仿宋" w:hAnsi="仿宋" w:eastAsia="仿宋" w:cs="仿宋"/>
          <w:b w:val="0"/>
          <w:bCs w:val="0"/>
          <w:sz w:val="30"/>
          <w:szCs w:val="30"/>
          <w:highlight w:val="none"/>
          <w:lang w:val="en-US" w:eastAsia="zh-CN"/>
        </w:rPr>
      </w:pPr>
      <w:r>
        <w:rPr>
          <w:rFonts w:hint="eastAsia" w:ascii="仿宋" w:hAnsi="仿宋" w:eastAsia="仿宋" w:cs="仿宋"/>
          <w:b w:val="0"/>
          <w:bCs w:val="0"/>
          <w:sz w:val="30"/>
          <w:szCs w:val="30"/>
          <w:highlight w:val="none"/>
          <w:lang w:val="en-US" w:eastAsia="zh-CN"/>
        </w:rPr>
        <w:t>（1）根据采购人单位作为医疗机构的特殊性质，全面开展高危及重要电安全隐患排查咨询。</w:t>
      </w:r>
    </w:p>
    <w:p>
      <w:pPr>
        <w:pStyle w:val="10"/>
        <w:keepNext w:val="0"/>
        <w:keepLines w:val="0"/>
        <w:pageBreakBefore w:val="0"/>
        <w:kinsoku/>
        <w:wordWrap/>
        <w:overflowPunct/>
        <w:topLinePunct w:val="0"/>
        <w:autoSpaceDE/>
        <w:autoSpaceDN/>
        <w:bidi w:val="0"/>
        <w:adjustRightInd/>
        <w:snapToGrid/>
        <w:spacing w:beforeAutospacing="0" w:line="400" w:lineRule="exact"/>
        <w:ind w:firstLine="600" w:firstLineChars="200"/>
        <w:jc w:val="left"/>
        <w:textAlignment w:val="auto"/>
        <w:rPr>
          <w:rFonts w:hint="eastAsia" w:ascii="仿宋" w:hAnsi="仿宋" w:eastAsia="仿宋" w:cs="仿宋"/>
          <w:b w:val="0"/>
          <w:bCs w:val="0"/>
          <w:sz w:val="30"/>
          <w:szCs w:val="30"/>
          <w:highlight w:val="none"/>
          <w:lang w:val="en-US" w:eastAsia="zh-CN"/>
        </w:rPr>
      </w:pPr>
      <w:r>
        <w:rPr>
          <w:rFonts w:hint="eastAsia" w:ascii="仿宋" w:hAnsi="仿宋" w:eastAsia="仿宋" w:cs="仿宋"/>
          <w:b w:val="0"/>
          <w:bCs w:val="0"/>
          <w:sz w:val="30"/>
          <w:szCs w:val="30"/>
          <w:highlight w:val="none"/>
          <w:lang w:val="en-US" w:eastAsia="zh-CN"/>
        </w:rPr>
        <w:t>（2）对采购人进行用电培训，做好停电事故应急预案，防止发生供电安全责任事故，提高安全用电管理水平，营造安全、稳定、和谐的供用电环境。</w:t>
      </w:r>
    </w:p>
    <w:p>
      <w:pPr>
        <w:pStyle w:val="10"/>
        <w:keepNext w:val="0"/>
        <w:keepLines w:val="0"/>
        <w:pageBreakBefore w:val="0"/>
        <w:kinsoku/>
        <w:wordWrap/>
        <w:overflowPunct/>
        <w:topLinePunct w:val="0"/>
        <w:autoSpaceDE/>
        <w:autoSpaceDN/>
        <w:bidi w:val="0"/>
        <w:adjustRightInd/>
        <w:snapToGrid/>
        <w:spacing w:beforeAutospacing="0" w:line="400" w:lineRule="exact"/>
        <w:ind w:firstLine="600" w:firstLineChars="200"/>
        <w:jc w:val="left"/>
        <w:textAlignment w:val="auto"/>
        <w:rPr>
          <w:rFonts w:hint="eastAsia" w:ascii="仿宋" w:hAnsi="仿宋" w:eastAsia="仿宋" w:cs="仿宋"/>
          <w:b w:val="0"/>
          <w:bCs w:val="0"/>
          <w:sz w:val="30"/>
          <w:szCs w:val="30"/>
          <w:highlight w:val="none"/>
          <w:lang w:val="en-US" w:eastAsia="zh-CN"/>
        </w:rPr>
      </w:pPr>
      <w:r>
        <w:rPr>
          <w:rFonts w:hint="eastAsia" w:ascii="仿宋" w:hAnsi="仿宋" w:eastAsia="仿宋" w:cs="仿宋"/>
          <w:b w:val="0"/>
          <w:bCs w:val="0"/>
          <w:sz w:val="30"/>
          <w:szCs w:val="30"/>
          <w:highlight w:val="none"/>
          <w:lang w:val="en-US" w:eastAsia="zh-CN"/>
        </w:rPr>
        <w:t>（3）通过分析电能量采集装置的实时数据，为采购人诊断电网运行的经济性，安全性。</w:t>
      </w:r>
    </w:p>
    <w:p>
      <w:pPr>
        <w:pStyle w:val="10"/>
        <w:keepNext w:val="0"/>
        <w:keepLines w:val="0"/>
        <w:pageBreakBefore w:val="0"/>
        <w:kinsoku/>
        <w:wordWrap/>
        <w:overflowPunct/>
        <w:topLinePunct w:val="0"/>
        <w:autoSpaceDE/>
        <w:autoSpaceDN/>
        <w:bidi w:val="0"/>
        <w:adjustRightInd/>
        <w:snapToGrid/>
        <w:spacing w:beforeAutospacing="0" w:line="400" w:lineRule="exact"/>
        <w:ind w:firstLine="600" w:firstLineChars="200"/>
        <w:jc w:val="left"/>
        <w:textAlignment w:val="auto"/>
        <w:rPr>
          <w:rFonts w:hint="eastAsia" w:ascii="仿宋" w:hAnsi="仿宋" w:eastAsia="仿宋" w:cs="仿宋"/>
          <w:b w:val="0"/>
          <w:bCs w:val="0"/>
          <w:sz w:val="30"/>
          <w:szCs w:val="30"/>
          <w:highlight w:val="none"/>
          <w:lang w:val="en-US" w:eastAsia="zh-CN"/>
        </w:rPr>
      </w:pPr>
      <w:r>
        <w:rPr>
          <w:rFonts w:hint="eastAsia" w:ascii="仿宋" w:hAnsi="仿宋" w:eastAsia="仿宋" w:cs="仿宋"/>
          <w:b w:val="0"/>
          <w:bCs w:val="0"/>
          <w:sz w:val="30"/>
          <w:szCs w:val="30"/>
          <w:highlight w:val="none"/>
          <w:lang w:val="en-US" w:eastAsia="zh-CN"/>
        </w:rPr>
        <w:t>7.预试预检：</w:t>
      </w:r>
    </w:p>
    <w:p>
      <w:pPr>
        <w:pStyle w:val="10"/>
        <w:keepNext w:val="0"/>
        <w:keepLines w:val="0"/>
        <w:pageBreakBefore w:val="0"/>
        <w:kinsoku/>
        <w:wordWrap/>
        <w:overflowPunct/>
        <w:topLinePunct w:val="0"/>
        <w:autoSpaceDE/>
        <w:autoSpaceDN/>
        <w:bidi w:val="0"/>
        <w:adjustRightInd/>
        <w:snapToGrid/>
        <w:spacing w:beforeAutospacing="0" w:line="400" w:lineRule="exact"/>
        <w:ind w:firstLine="600" w:firstLineChars="200"/>
        <w:jc w:val="left"/>
        <w:textAlignment w:val="auto"/>
        <w:rPr>
          <w:rFonts w:hint="eastAsia" w:ascii="仿宋" w:hAnsi="仿宋" w:eastAsia="仿宋" w:cs="仿宋"/>
          <w:b w:val="0"/>
          <w:bCs w:val="0"/>
          <w:sz w:val="30"/>
          <w:szCs w:val="30"/>
          <w:highlight w:val="none"/>
          <w:lang w:val="en-US" w:eastAsia="zh-CN"/>
        </w:rPr>
      </w:pPr>
      <w:r>
        <w:rPr>
          <w:rFonts w:hint="eastAsia" w:ascii="仿宋" w:hAnsi="仿宋" w:eastAsia="仿宋" w:cs="仿宋"/>
          <w:b w:val="0"/>
          <w:bCs w:val="0"/>
          <w:sz w:val="30"/>
          <w:szCs w:val="30"/>
          <w:highlight w:val="none"/>
          <w:lang w:val="en-US" w:eastAsia="zh-CN"/>
        </w:rPr>
        <w:t>（1）对采购人的变压器、高压柜、环网柜、电力电缆、接地系统等免费进行预试预检。</w:t>
      </w:r>
    </w:p>
    <w:p>
      <w:pPr>
        <w:pStyle w:val="10"/>
        <w:keepNext w:val="0"/>
        <w:keepLines w:val="0"/>
        <w:pageBreakBefore w:val="0"/>
        <w:kinsoku/>
        <w:wordWrap/>
        <w:overflowPunct/>
        <w:topLinePunct w:val="0"/>
        <w:autoSpaceDE/>
        <w:autoSpaceDN/>
        <w:bidi w:val="0"/>
        <w:adjustRightInd/>
        <w:snapToGrid/>
        <w:spacing w:beforeAutospacing="0" w:line="400" w:lineRule="exact"/>
        <w:ind w:firstLine="600" w:firstLineChars="200"/>
        <w:jc w:val="left"/>
        <w:textAlignment w:val="auto"/>
        <w:rPr>
          <w:rFonts w:hint="eastAsia" w:ascii="仿宋" w:hAnsi="仿宋" w:eastAsia="仿宋" w:cs="仿宋"/>
          <w:b w:val="0"/>
          <w:bCs w:val="0"/>
          <w:sz w:val="30"/>
          <w:szCs w:val="30"/>
          <w:highlight w:val="none"/>
          <w:lang w:val="en-US" w:eastAsia="zh-CN"/>
        </w:rPr>
      </w:pPr>
      <w:r>
        <w:rPr>
          <w:rFonts w:hint="eastAsia" w:ascii="仿宋" w:hAnsi="仿宋" w:eastAsia="仿宋" w:cs="仿宋"/>
          <w:b w:val="0"/>
          <w:bCs w:val="0"/>
          <w:sz w:val="30"/>
          <w:szCs w:val="30"/>
          <w:highlight w:val="none"/>
          <w:lang w:val="en-US" w:eastAsia="zh-CN"/>
        </w:rPr>
        <w:t>（2）对供电安全管理，加强装表接电、采集终端安装、用电检查等现场作业的安全管控提出合理建议。</w:t>
      </w:r>
    </w:p>
    <w:p>
      <w:pPr>
        <w:pStyle w:val="10"/>
        <w:keepNext w:val="0"/>
        <w:keepLines w:val="0"/>
        <w:pageBreakBefore w:val="0"/>
        <w:kinsoku/>
        <w:wordWrap/>
        <w:overflowPunct/>
        <w:topLinePunct w:val="0"/>
        <w:autoSpaceDE/>
        <w:autoSpaceDN/>
        <w:bidi w:val="0"/>
        <w:adjustRightInd/>
        <w:snapToGrid/>
        <w:spacing w:beforeAutospacing="0" w:line="400" w:lineRule="exact"/>
        <w:ind w:firstLine="600" w:firstLineChars="200"/>
        <w:jc w:val="left"/>
        <w:textAlignment w:val="auto"/>
        <w:rPr>
          <w:rFonts w:hint="eastAsia" w:ascii="仿宋" w:hAnsi="仿宋" w:eastAsia="仿宋" w:cs="仿宋"/>
          <w:b w:val="0"/>
          <w:bCs w:val="0"/>
          <w:sz w:val="30"/>
          <w:szCs w:val="30"/>
          <w:highlight w:val="none"/>
          <w:lang w:val="en-US" w:eastAsia="zh-CN"/>
        </w:rPr>
      </w:pPr>
      <w:r>
        <w:rPr>
          <w:rFonts w:hint="eastAsia" w:ascii="仿宋" w:hAnsi="仿宋" w:eastAsia="仿宋" w:cs="仿宋"/>
          <w:b w:val="0"/>
          <w:bCs w:val="0"/>
          <w:sz w:val="30"/>
          <w:szCs w:val="30"/>
          <w:highlight w:val="none"/>
          <w:lang w:val="en-US" w:eastAsia="zh-CN"/>
        </w:rPr>
        <w:t>8.后续服务：派遣电力工程师到采购人单位了解分析用电设备及其负荷，协助采购人管理部门做好用电负荷及电量预测。</w:t>
      </w:r>
    </w:p>
    <w:p>
      <w:pPr>
        <w:pStyle w:val="10"/>
        <w:keepNext w:val="0"/>
        <w:keepLines w:val="0"/>
        <w:pageBreakBefore w:val="0"/>
        <w:kinsoku/>
        <w:wordWrap/>
        <w:overflowPunct/>
        <w:topLinePunct w:val="0"/>
        <w:autoSpaceDE/>
        <w:autoSpaceDN/>
        <w:bidi w:val="0"/>
        <w:adjustRightInd/>
        <w:snapToGrid/>
        <w:spacing w:beforeAutospacing="0" w:line="400" w:lineRule="exact"/>
        <w:ind w:firstLine="600" w:firstLineChars="200"/>
        <w:textAlignment w:val="auto"/>
        <w:rPr>
          <w:rFonts w:hint="default" w:ascii="黑体" w:hAnsi="黑体" w:eastAsia="黑体" w:cs="黑体"/>
          <w:b w:val="0"/>
          <w:bCs/>
          <w:sz w:val="30"/>
          <w:szCs w:val="30"/>
          <w:highlight w:val="none"/>
          <w:lang w:val="en-US" w:eastAsia="zh-CN"/>
        </w:rPr>
      </w:pPr>
      <w:r>
        <w:rPr>
          <w:rFonts w:hint="eastAsia" w:ascii="黑体" w:hAnsi="黑体" w:eastAsia="黑体" w:cs="黑体"/>
          <w:b w:val="0"/>
          <w:bCs w:val="0"/>
          <w:sz w:val="30"/>
          <w:szCs w:val="30"/>
          <w:highlight w:val="none"/>
          <w:lang w:val="en-US" w:eastAsia="zh-CN"/>
        </w:rPr>
        <w:t>二、</w:t>
      </w:r>
      <w:r>
        <w:rPr>
          <w:rFonts w:hint="eastAsia" w:ascii="黑体" w:hAnsi="黑体" w:eastAsia="黑体" w:cs="黑体"/>
          <w:b w:val="0"/>
          <w:bCs/>
          <w:sz w:val="30"/>
          <w:szCs w:val="30"/>
          <w:highlight w:val="none"/>
          <w:lang w:val="en-US" w:eastAsia="zh-CN"/>
        </w:rPr>
        <w:t>报价要求</w:t>
      </w:r>
    </w:p>
    <w:tbl>
      <w:tblPr>
        <w:tblStyle w:val="7"/>
        <w:tblW w:w="4997"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50"/>
        <w:gridCol w:w="3088"/>
        <w:gridCol w:w="1400"/>
        <w:gridCol w:w="1271"/>
        <w:gridCol w:w="1271"/>
        <w:gridCol w:w="127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22" w:hRule="atLeast"/>
        </w:trPr>
        <w:tc>
          <w:tcPr>
            <w:tcW w:w="414" w:type="pct"/>
          </w:tcPr>
          <w:p>
            <w:pPr>
              <w:pStyle w:val="10"/>
              <w:jc w:val="center"/>
              <w:rPr>
                <w:rFonts w:hint="eastAsia" w:ascii="仿宋" w:hAnsi="仿宋" w:eastAsia="仿宋" w:cs="仿宋"/>
                <w:sz w:val="24"/>
                <w:szCs w:val="24"/>
              </w:rPr>
            </w:pPr>
            <w:r>
              <w:rPr>
                <w:rFonts w:hint="eastAsia" w:ascii="仿宋" w:hAnsi="仿宋" w:eastAsia="仿宋" w:cs="仿宋"/>
                <w:sz w:val="24"/>
                <w:szCs w:val="24"/>
              </w:rPr>
              <w:t>序号</w:t>
            </w:r>
          </w:p>
        </w:tc>
        <w:tc>
          <w:tcPr>
            <w:tcW w:w="1705" w:type="pct"/>
          </w:tcPr>
          <w:p>
            <w:pPr>
              <w:pStyle w:val="10"/>
              <w:jc w:val="center"/>
              <w:rPr>
                <w:rFonts w:hint="eastAsia" w:ascii="仿宋" w:hAnsi="仿宋" w:eastAsia="仿宋" w:cs="仿宋"/>
                <w:sz w:val="24"/>
                <w:szCs w:val="24"/>
              </w:rPr>
            </w:pPr>
            <w:r>
              <w:rPr>
                <w:rFonts w:hint="eastAsia" w:ascii="仿宋" w:hAnsi="仿宋" w:eastAsia="仿宋" w:cs="仿宋"/>
                <w:sz w:val="24"/>
                <w:szCs w:val="24"/>
              </w:rPr>
              <w:t>报价内容</w:t>
            </w:r>
          </w:p>
        </w:tc>
        <w:tc>
          <w:tcPr>
            <w:tcW w:w="773" w:type="pct"/>
          </w:tcPr>
          <w:p>
            <w:pPr>
              <w:pStyle w:val="10"/>
              <w:jc w:val="center"/>
              <w:rPr>
                <w:rFonts w:hint="eastAsia" w:ascii="仿宋" w:hAnsi="仿宋" w:eastAsia="仿宋" w:cs="仿宋"/>
                <w:sz w:val="24"/>
                <w:szCs w:val="24"/>
              </w:rPr>
            </w:pPr>
            <w:r>
              <w:rPr>
                <w:rFonts w:hint="eastAsia" w:ascii="仿宋" w:hAnsi="仿宋" w:eastAsia="仿宋" w:cs="仿宋"/>
                <w:sz w:val="24"/>
                <w:szCs w:val="24"/>
              </w:rPr>
              <w:t>计量单位</w:t>
            </w:r>
          </w:p>
        </w:tc>
        <w:tc>
          <w:tcPr>
            <w:tcW w:w="702" w:type="pct"/>
          </w:tcPr>
          <w:p>
            <w:pPr>
              <w:pStyle w:val="10"/>
              <w:jc w:val="center"/>
              <w:rPr>
                <w:rFonts w:hint="eastAsia" w:ascii="仿宋" w:hAnsi="仿宋" w:eastAsia="仿宋" w:cs="仿宋"/>
                <w:sz w:val="24"/>
                <w:szCs w:val="24"/>
              </w:rPr>
            </w:pPr>
            <w:r>
              <w:rPr>
                <w:rFonts w:hint="eastAsia" w:ascii="仿宋" w:hAnsi="仿宋" w:eastAsia="仿宋" w:cs="仿宋"/>
                <w:sz w:val="24"/>
                <w:szCs w:val="24"/>
              </w:rPr>
              <w:t>报价单位</w:t>
            </w:r>
          </w:p>
        </w:tc>
        <w:tc>
          <w:tcPr>
            <w:tcW w:w="702" w:type="pct"/>
          </w:tcPr>
          <w:p>
            <w:pPr>
              <w:pStyle w:val="10"/>
              <w:jc w:val="center"/>
              <w:rPr>
                <w:rFonts w:hint="eastAsia" w:ascii="仿宋" w:hAnsi="仿宋" w:eastAsia="仿宋" w:cs="仿宋"/>
                <w:sz w:val="24"/>
                <w:szCs w:val="24"/>
              </w:rPr>
            </w:pPr>
            <w:r>
              <w:rPr>
                <w:rFonts w:hint="eastAsia" w:ascii="仿宋" w:hAnsi="仿宋" w:eastAsia="仿宋" w:cs="仿宋"/>
                <w:sz w:val="24"/>
                <w:szCs w:val="24"/>
              </w:rPr>
              <w:t>最高限价</w:t>
            </w:r>
          </w:p>
        </w:tc>
        <w:tc>
          <w:tcPr>
            <w:tcW w:w="702" w:type="pct"/>
          </w:tcPr>
          <w:p>
            <w:pPr>
              <w:pStyle w:val="10"/>
              <w:jc w:val="center"/>
              <w:rPr>
                <w:rFonts w:hint="eastAsia" w:ascii="仿宋" w:hAnsi="仿宋" w:eastAsia="仿宋" w:cs="仿宋"/>
                <w:sz w:val="24"/>
                <w:szCs w:val="24"/>
              </w:rPr>
            </w:pPr>
            <w:r>
              <w:rPr>
                <w:rFonts w:hint="eastAsia" w:ascii="仿宋" w:hAnsi="仿宋" w:eastAsia="仿宋" w:cs="仿宋"/>
                <w:sz w:val="24"/>
                <w:szCs w:val="24"/>
              </w:rPr>
              <w:t>价款形式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4" w:type="pct"/>
          </w:tcPr>
          <w:p>
            <w:pPr>
              <w:pStyle w:val="10"/>
              <w:jc w:val="center"/>
              <w:rPr>
                <w:rFonts w:hint="eastAsia" w:ascii="仿宋" w:hAnsi="仿宋" w:eastAsia="仿宋" w:cs="仿宋"/>
                <w:sz w:val="24"/>
                <w:szCs w:val="24"/>
              </w:rPr>
            </w:pPr>
            <w:r>
              <w:rPr>
                <w:rFonts w:hint="eastAsia" w:ascii="仿宋" w:hAnsi="仿宋" w:eastAsia="仿宋" w:cs="仿宋"/>
                <w:sz w:val="24"/>
                <w:szCs w:val="24"/>
              </w:rPr>
              <w:t>1</w:t>
            </w:r>
          </w:p>
        </w:tc>
        <w:tc>
          <w:tcPr>
            <w:tcW w:w="1705" w:type="pct"/>
          </w:tcPr>
          <w:p>
            <w:pPr>
              <w:pStyle w:val="10"/>
              <w:jc w:val="left"/>
              <w:rPr>
                <w:rFonts w:hint="eastAsia" w:ascii="仿宋" w:hAnsi="仿宋" w:eastAsia="仿宋" w:cs="仿宋"/>
                <w:sz w:val="24"/>
                <w:szCs w:val="24"/>
                <w:lang w:eastAsia="zh-CN"/>
              </w:rPr>
            </w:pPr>
            <w:r>
              <w:rPr>
                <w:rFonts w:hint="eastAsia" w:ascii="仿宋" w:hAnsi="仿宋" w:eastAsia="仿宋" w:cs="仿宋"/>
                <w:sz w:val="24"/>
                <w:szCs w:val="24"/>
              </w:rPr>
              <w:t>丰水期</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6-10月</w:t>
            </w:r>
            <w:r>
              <w:rPr>
                <w:rFonts w:hint="eastAsia" w:ascii="仿宋" w:hAnsi="仿宋" w:eastAsia="仿宋" w:cs="仿宋"/>
                <w:sz w:val="24"/>
                <w:szCs w:val="24"/>
                <w:lang w:eastAsia="zh-CN"/>
              </w:rPr>
              <w:t>）</w:t>
            </w:r>
          </w:p>
        </w:tc>
        <w:tc>
          <w:tcPr>
            <w:tcW w:w="773" w:type="pct"/>
          </w:tcPr>
          <w:p>
            <w:pPr>
              <w:pStyle w:val="10"/>
              <w:jc w:val="center"/>
              <w:rPr>
                <w:rFonts w:hint="eastAsia" w:ascii="仿宋" w:hAnsi="仿宋" w:eastAsia="仿宋" w:cs="仿宋"/>
                <w:sz w:val="24"/>
                <w:szCs w:val="24"/>
              </w:rPr>
            </w:pPr>
            <w:r>
              <w:rPr>
                <w:rFonts w:hint="eastAsia" w:ascii="仿宋" w:hAnsi="仿宋" w:eastAsia="仿宋" w:cs="仿宋"/>
                <w:sz w:val="24"/>
                <w:szCs w:val="24"/>
              </w:rPr>
              <w:t>元/兆瓦时</w:t>
            </w:r>
          </w:p>
        </w:tc>
        <w:tc>
          <w:tcPr>
            <w:tcW w:w="702" w:type="pct"/>
          </w:tcPr>
          <w:p>
            <w:pPr>
              <w:pStyle w:val="10"/>
              <w:jc w:val="center"/>
              <w:rPr>
                <w:rFonts w:hint="eastAsia" w:ascii="仿宋" w:hAnsi="仿宋" w:eastAsia="仿宋" w:cs="仿宋"/>
                <w:sz w:val="24"/>
                <w:szCs w:val="24"/>
              </w:rPr>
            </w:pPr>
            <w:r>
              <w:rPr>
                <w:rFonts w:hint="eastAsia" w:ascii="仿宋" w:hAnsi="仿宋" w:eastAsia="仿宋" w:cs="仿宋"/>
                <w:sz w:val="24"/>
                <w:szCs w:val="24"/>
              </w:rPr>
              <w:t>元</w:t>
            </w:r>
          </w:p>
        </w:tc>
        <w:tc>
          <w:tcPr>
            <w:tcW w:w="702" w:type="pct"/>
          </w:tcPr>
          <w:p>
            <w:pPr>
              <w:pStyle w:val="10"/>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211</w:t>
            </w:r>
          </w:p>
        </w:tc>
        <w:tc>
          <w:tcPr>
            <w:tcW w:w="702" w:type="pct"/>
          </w:tcPr>
          <w:p>
            <w:pPr>
              <w:pStyle w:val="10"/>
              <w:jc w:val="center"/>
              <w:rPr>
                <w:rFonts w:hint="eastAsia" w:ascii="仿宋" w:hAnsi="仿宋" w:eastAsia="仿宋" w:cs="仿宋"/>
                <w:sz w:val="24"/>
                <w:szCs w:val="24"/>
              </w:rPr>
            </w:pPr>
            <w:r>
              <w:rPr>
                <w:rFonts w:hint="eastAsia" w:ascii="仿宋" w:hAnsi="仿宋" w:eastAsia="仿宋" w:cs="仿宋"/>
                <w:sz w:val="24"/>
                <w:szCs w:val="24"/>
              </w:rPr>
              <w:t>单价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4" w:type="pct"/>
          </w:tcPr>
          <w:p>
            <w:pPr>
              <w:pStyle w:val="10"/>
              <w:jc w:val="center"/>
              <w:rPr>
                <w:rFonts w:hint="eastAsia" w:ascii="仿宋" w:hAnsi="仿宋" w:eastAsia="仿宋" w:cs="仿宋"/>
                <w:sz w:val="24"/>
                <w:szCs w:val="24"/>
              </w:rPr>
            </w:pPr>
            <w:r>
              <w:rPr>
                <w:rFonts w:hint="eastAsia" w:ascii="仿宋" w:hAnsi="仿宋" w:eastAsia="仿宋" w:cs="仿宋"/>
                <w:sz w:val="24"/>
                <w:szCs w:val="24"/>
              </w:rPr>
              <w:t>2</w:t>
            </w:r>
          </w:p>
        </w:tc>
        <w:tc>
          <w:tcPr>
            <w:tcW w:w="1705" w:type="pct"/>
          </w:tcPr>
          <w:p>
            <w:pPr>
              <w:pStyle w:val="10"/>
              <w:jc w:val="left"/>
              <w:rPr>
                <w:rFonts w:hint="eastAsia" w:ascii="仿宋" w:hAnsi="仿宋" w:eastAsia="仿宋" w:cs="仿宋"/>
                <w:sz w:val="24"/>
                <w:szCs w:val="24"/>
                <w:lang w:eastAsia="zh-CN"/>
              </w:rPr>
            </w:pPr>
            <w:r>
              <w:rPr>
                <w:rFonts w:hint="eastAsia" w:ascii="仿宋" w:hAnsi="仿宋" w:eastAsia="仿宋" w:cs="仿宋"/>
                <w:sz w:val="24"/>
                <w:szCs w:val="24"/>
              </w:rPr>
              <w:t>平水期</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5月、11月</w:t>
            </w:r>
            <w:r>
              <w:rPr>
                <w:rFonts w:hint="eastAsia" w:ascii="仿宋" w:hAnsi="仿宋" w:eastAsia="仿宋" w:cs="仿宋"/>
                <w:sz w:val="24"/>
                <w:szCs w:val="24"/>
                <w:lang w:eastAsia="zh-CN"/>
              </w:rPr>
              <w:t>）</w:t>
            </w:r>
          </w:p>
        </w:tc>
        <w:tc>
          <w:tcPr>
            <w:tcW w:w="773" w:type="pct"/>
          </w:tcPr>
          <w:p>
            <w:pPr>
              <w:pStyle w:val="10"/>
              <w:jc w:val="center"/>
              <w:rPr>
                <w:rFonts w:hint="eastAsia" w:ascii="仿宋" w:hAnsi="仿宋" w:eastAsia="仿宋" w:cs="仿宋"/>
                <w:sz w:val="24"/>
                <w:szCs w:val="24"/>
              </w:rPr>
            </w:pPr>
            <w:r>
              <w:rPr>
                <w:rFonts w:hint="eastAsia" w:ascii="仿宋" w:hAnsi="仿宋" w:eastAsia="仿宋" w:cs="仿宋"/>
                <w:sz w:val="24"/>
                <w:szCs w:val="24"/>
              </w:rPr>
              <w:t>元/兆瓦时</w:t>
            </w:r>
          </w:p>
        </w:tc>
        <w:tc>
          <w:tcPr>
            <w:tcW w:w="702" w:type="pct"/>
          </w:tcPr>
          <w:p>
            <w:pPr>
              <w:pStyle w:val="10"/>
              <w:jc w:val="center"/>
              <w:rPr>
                <w:rFonts w:hint="eastAsia" w:ascii="仿宋" w:hAnsi="仿宋" w:eastAsia="仿宋" w:cs="仿宋"/>
                <w:sz w:val="24"/>
                <w:szCs w:val="24"/>
              </w:rPr>
            </w:pPr>
            <w:r>
              <w:rPr>
                <w:rFonts w:hint="eastAsia" w:ascii="仿宋" w:hAnsi="仿宋" w:eastAsia="仿宋" w:cs="仿宋"/>
                <w:sz w:val="24"/>
                <w:szCs w:val="24"/>
              </w:rPr>
              <w:t>元</w:t>
            </w:r>
          </w:p>
        </w:tc>
        <w:tc>
          <w:tcPr>
            <w:tcW w:w="702" w:type="pct"/>
          </w:tcPr>
          <w:p>
            <w:pPr>
              <w:pStyle w:val="10"/>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333</w:t>
            </w:r>
          </w:p>
        </w:tc>
        <w:tc>
          <w:tcPr>
            <w:tcW w:w="702" w:type="pct"/>
          </w:tcPr>
          <w:p>
            <w:pPr>
              <w:pStyle w:val="10"/>
              <w:jc w:val="center"/>
              <w:rPr>
                <w:rFonts w:hint="eastAsia" w:ascii="仿宋" w:hAnsi="仿宋" w:eastAsia="仿宋" w:cs="仿宋"/>
                <w:sz w:val="24"/>
                <w:szCs w:val="24"/>
              </w:rPr>
            </w:pPr>
            <w:r>
              <w:rPr>
                <w:rFonts w:hint="eastAsia" w:ascii="仿宋" w:hAnsi="仿宋" w:eastAsia="仿宋" w:cs="仿宋"/>
                <w:sz w:val="24"/>
                <w:szCs w:val="24"/>
              </w:rPr>
              <w:t>单价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4" w:type="pct"/>
          </w:tcPr>
          <w:p>
            <w:pPr>
              <w:pStyle w:val="10"/>
              <w:jc w:val="center"/>
              <w:rPr>
                <w:rFonts w:hint="eastAsia" w:ascii="仿宋" w:hAnsi="仿宋" w:eastAsia="仿宋" w:cs="仿宋"/>
                <w:sz w:val="24"/>
                <w:szCs w:val="24"/>
              </w:rPr>
            </w:pPr>
            <w:r>
              <w:rPr>
                <w:rFonts w:hint="eastAsia" w:ascii="仿宋" w:hAnsi="仿宋" w:eastAsia="仿宋" w:cs="仿宋"/>
                <w:sz w:val="24"/>
                <w:szCs w:val="24"/>
              </w:rPr>
              <w:t>3</w:t>
            </w:r>
          </w:p>
        </w:tc>
        <w:tc>
          <w:tcPr>
            <w:tcW w:w="1705" w:type="pct"/>
          </w:tcPr>
          <w:p>
            <w:pPr>
              <w:pStyle w:val="10"/>
              <w:jc w:val="left"/>
              <w:rPr>
                <w:rFonts w:hint="eastAsia" w:ascii="仿宋" w:hAnsi="仿宋" w:eastAsia="仿宋" w:cs="仿宋"/>
                <w:sz w:val="24"/>
                <w:szCs w:val="24"/>
              </w:rPr>
            </w:pPr>
            <w:r>
              <w:rPr>
                <w:rFonts w:hint="eastAsia" w:ascii="仿宋" w:hAnsi="仿宋" w:eastAsia="仿宋" w:cs="仿宋"/>
                <w:sz w:val="24"/>
                <w:szCs w:val="24"/>
              </w:rPr>
              <w:t>枯水期</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1-4月、12月</w:t>
            </w:r>
            <w:r>
              <w:rPr>
                <w:rFonts w:hint="eastAsia" w:ascii="仿宋" w:hAnsi="仿宋" w:eastAsia="仿宋" w:cs="仿宋"/>
                <w:sz w:val="24"/>
                <w:szCs w:val="24"/>
                <w:lang w:eastAsia="zh-CN"/>
              </w:rPr>
              <w:t>）</w:t>
            </w:r>
          </w:p>
        </w:tc>
        <w:tc>
          <w:tcPr>
            <w:tcW w:w="773" w:type="pct"/>
          </w:tcPr>
          <w:p>
            <w:pPr>
              <w:pStyle w:val="10"/>
              <w:jc w:val="center"/>
              <w:rPr>
                <w:rFonts w:hint="eastAsia" w:ascii="仿宋" w:hAnsi="仿宋" w:eastAsia="仿宋" w:cs="仿宋"/>
                <w:sz w:val="24"/>
                <w:szCs w:val="24"/>
              </w:rPr>
            </w:pPr>
            <w:r>
              <w:rPr>
                <w:rFonts w:hint="eastAsia" w:ascii="仿宋" w:hAnsi="仿宋" w:eastAsia="仿宋" w:cs="仿宋"/>
                <w:sz w:val="24"/>
                <w:szCs w:val="24"/>
              </w:rPr>
              <w:t>元/兆瓦时</w:t>
            </w:r>
          </w:p>
        </w:tc>
        <w:tc>
          <w:tcPr>
            <w:tcW w:w="702" w:type="pct"/>
          </w:tcPr>
          <w:p>
            <w:pPr>
              <w:pStyle w:val="10"/>
              <w:jc w:val="center"/>
              <w:rPr>
                <w:rFonts w:hint="eastAsia" w:ascii="仿宋" w:hAnsi="仿宋" w:eastAsia="仿宋" w:cs="仿宋"/>
                <w:sz w:val="24"/>
                <w:szCs w:val="24"/>
              </w:rPr>
            </w:pPr>
            <w:r>
              <w:rPr>
                <w:rFonts w:hint="eastAsia" w:ascii="仿宋" w:hAnsi="仿宋" w:eastAsia="仿宋" w:cs="仿宋"/>
                <w:sz w:val="24"/>
                <w:szCs w:val="24"/>
              </w:rPr>
              <w:t>元</w:t>
            </w:r>
          </w:p>
        </w:tc>
        <w:tc>
          <w:tcPr>
            <w:tcW w:w="702" w:type="pct"/>
          </w:tcPr>
          <w:p>
            <w:pPr>
              <w:pStyle w:val="10"/>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415</w:t>
            </w:r>
          </w:p>
        </w:tc>
        <w:tc>
          <w:tcPr>
            <w:tcW w:w="702" w:type="pct"/>
          </w:tcPr>
          <w:p>
            <w:pPr>
              <w:pStyle w:val="10"/>
              <w:jc w:val="center"/>
              <w:rPr>
                <w:rFonts w:hint="eastAsia" w:ascii="仿宋" w:hAnsi="仿宋" w:eastAsia="仿宋" w:cs="仿宋"/>
                <w:sz w:val="24"/>
                <w:szCs w:val="24"/>
              </w:rPr>
            </w:pPr>
            <w:r>
              <w:rPr>
                <w:rFonts w:hint="eastAsia" w:ascii="仿宋" w:hAnsi="仿宋" w:eastAsia="仿宋" w:cs="仿宋"/>
                <w:sz w:val="24"/>
                <w:szCs w:val="24"/>
              </w:rPr>
              <w:t>单价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00" w:type="pct"/>
            <w:gridSpan w:val="6"/>
          </w:tcPr>
          <w:p>
            <w:pPr>
              <w:pStyle w:val="10"/>
              <w:jc w:val="left"/>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备注：零售市场阶梯套餐</w:t>
            </w:r>
          </w:p>
        </w:tc>
      </w:tr>
    </w:tbl>
    <w:p>
      <w:pPr>
        <w:pStyle w:val="10"/>
        <w:keepNext w:val="0"/>
        <w:keepLines w:val="0"/>
        <w:pageBreakBefore w:val="0"/>
        <w:kinsoku/>
        <w:wordWrap/>
        <w:overflowPunct/>
        <w:topLinePunct w:val="0"/>
        <w:autoSpaceDE/>
        <w:autoSpaceDN/>
        <w:bidi w:val="0"/>
        <w:adjustRightInd/>
        <w:snapToGrid/>
        <w:spacing w:beforeAutospacing="0" w:line="400" w:lineRule="exact"/>
        <w:ind w:firstLine="600" w:firstLineChars="200"/>
        <w:jc w:val="left"/>
        <w:textAlignment w:val="auto"/>
        <w:rPr>
          <w:rFonts w:hint="eastAsia" w:ascii="仿宋" w:hAnsi="仿宋" w:eastAsia="仿宋" w:cs="仿宋"/>
          <w:b w:val="0"/>
          <w:bCs w:val="0"/>
          <w:sz w:val="30"/>
          <w:szCs w:val="30"/>
          <w:highlight w:val="none"/>
          <w:lang w:val="en-US" w:eastAsia="zh-CN"/>
        </w:rPr>
      </w:pPr>
      <w:r>
        <w:rPr>
          <w:rFonts w:hint="eastAsia" w:ascii="仿宋" w:hAnsi="仿宋" w:eastAsia="仿宋" w:cs="仿宋"/>
          <w:b w:val="0"/>
          <w:bCs w:val="0"/>
          <w:sz w:val="30"/>
          <w:szCs w:val="30"/>
          <w:highlight w:val="none"/>
          <w:lang w:val="en-US" w:eastAsia="zh-CN"/>
        </w:rPr>
        <w:t xml:space="preserve">1.本项目预算金额包含：（交易电价+电费单价中除交易电价外的组成部分）*预估电量，以及中标人工作人员的工勤费用以及合同实施过程中的可预见及不可预见费用。采购人不再向中标人另行支付任何费用。 </w:t>
      </w:r>
    </w:p>
    <w:p>
      <w:pPr>
        <w:pStyle w:val="10"/>
        <w:keepNext w:val="0"/>
        <w:keepLines w:val="0"/>
        <w:pageBreakBefore w:val="0"/>
        <w:kinsoku/>
        <w:wordWrap/>
        <w:overflowPunct/>
        <w:topLinePunct w:val="0"/>
        <w:autoSpaceDE/>
        <w:autoSpaceDN/>
        <w:bidi w:val="0"/>
        <w:adjustRightInd/>
        <w:snapToGrid/>
        <w:spacing w:beforeAutospacing="0" w:line="400" w:lineRule="exact"/>
        <w:ind w:firstLine="600" w:firstLineChars="200"/>
        <w:jc w:val="left"/>
        <w:textAlignment w:val="auto"/>
        <w:rPr>
          <w:rFonts w:hint="eastAsia" w:ascii="仿宋" w:hAnsi="仿宋" w:eastAsia="仿宋" w:cs="仿宋"/>
          <w:b w:val="0"/>
          <w:bCs w:val="0"/>
          <w:sz w:val="30"/>
          <w:szCs w:val="30"/>
          <w:highlight w:val="none"/>
          <w:lang w:val="en-US" w:eastAsia="zh-CN"/>
        </w:rPr>
      </w:pPr>
      <w:r>
        <w:rPr>
          <w:rFonts w:hint="eastAsia" w:ascii="仿宋" w:hAnsi="仿宋" w:eastAsia="仿宋" w:cs="仿宋"/>
          <w:b w:val="0"/>
          <w:bCs w:val="0"/>
          <w:sz w:val="30"/>
          <w:szCs w:val="30"/>
          <w:highlight w:val="none"/>
          <w:lang w:val="en-US" w:eastAsia="zh-CN"/>
        </w:rPr>
        <w:t>2.报价方式：</w:t>
      </w:r>
      <w:r>
        <w:rPr>
          <w:rFonts w:hint="eastAsia" w:ascii="仿宋" w:hAnsi="仿宋" w:eastAsia="仿宋" w:cs="仿宋"/>
          <w:color w:val="auto"/>
          <w:sz w:val="30"/>
          <w:szCs w:val="30"/>
          <w:highlight w:val="none"/>
          <w:shd w:val="clear" w:color="auto" w:fill="auto"/>
          <w:lang w:val="en-US" w:eastAsia="zh-CN"/>
        </w:rPr>
        <w:t>投标人须</w:t>
      </w:r>
      <w:r>
        <w:rPr>
          <w:rFonts w:hint="eastAsia" w:ascii="仿宋" w:hAnsi="仿宋" w:eastAsia="仿宋" w:cs="仿宋"/>
          <w:color w:val="auto"/>
          <w:sz w:val="30"/>
          <w:szCs w:val="30"/>
          <w:highlight w:val="none"/>
          <w:shd w:val="clear" w:color="auto" w:fill="auto"/>
        </w:rPr>
        <w:t>对</w:t>
      </w:r>
      <w:r>
        <w:rPr>
          <w:rFonts w:hint="eastAsia" w:ascii="仿宋" w:hAnsi="仿宋" w:eastAsia="仿宋" w:cs="仿宋"/>
          <w:color w:val="auto"/>
          <w:sz w:val="30"/>
          <w:szCs w:val="30"/>
          <w:highlight w:val="none"/>
          <w:shd w:val="clear" w:color="auto" w:fill="auto"/>
          <w:lang w:val="en-US" w:eastAsia="zh-CN"/>
        </w:rPr>
        <w:t>交易电价进行分水期</w:t>
      </w:r>
      <w:r>
        <w:rPr>
          <w:rFonts w:hint="eastAsia" w:ascii="仿宋" w:hAnsi="仿宋" w:eastAsia="仿宋" w:cs="仿宋"/>
          <w:color w:val="auto"/>
          <w:sz w:val="30"/>
          <w:szCs w:val="30"/>
          <w:highlight w:val="none"/>
          <w:shd w:val="clear" w:color="auto" w:fill="auto"/>
        </w:rPr>
        <w:t>报价，</w:t>
      </w:r>
      <w:r>
        <w:rPr>
          <w:rFonts w:hint="eastAsia" w:ascii="仿宋" w:hAnsi="仿宋" w:eastAsia="仿宋" w:cs="仿宋"/>
          <w:color w:val="auto"/>
          <w:sz w:val="30"/>
          <w:szCs w:val="30"/>
          <w:highlight w:val="none"/>
          <w:shd w:val="clear" w:color="auto" w:fill="auto"/>
          <w:lang w:val="en-US" w:eastAsia="zh-CN"/>
        </w:rPr>
        <w:t>可保留至小数点后1位数，</w:t>
      </w:r>
      <w:r>
        <w:rPr>
          <w:rFonts w:hint="eastAsia" w:ascii="仿宋" w:hAnsi="仿宋" w:eastAsia="仿宋" w:cs="仿宋"/>
          <w:b w:val="0"/>
          <w:bCs w:val="0"/>
          <w:sz w:val="30"/>
          <w:szCs w:val="30"/>
          <w:highlight w:val="none"/>
          <w:lang w:val="en-US" w:eastAsia="zh-CN"/>
        </w:rPr>
        <w:t>超过最高限价或未按报价要求报价的为无效响</w:t>
      </w:r>
      <w:bookmarkStart w:id="0" w:name="_GoBack"/>
      <w:bookmarkEnd w:id="0"/>
      <w:r>
        <w:rPr>
          <w:rFonts w:hint="eastAsia" w:ascii="仿宋" w:hAnsi="仿宋" w:eastAsia="仿宋" w:cs="仿宋"/>
          <w:b w:val="0"/>
          <w:bCs w:val="0"/>
          <w:sz w:val="30"/>
          <w:szCs w:val="30"/>
          <w:highlight w:val="none"/>
          <w:lang w:val="en-US" w:eastAsia="zh-CN"/>
        </w:rPr>
        <w:t xml:space="preserve">应。电费单价中除交易电价以外的组成部分为不可竞争费用，严格按照政府相关部门政策执行。 </w:t>
      </w:r>
    </w:p>
    <w:p>
      <w:pPr>
        <w:pStyle w:val="10"/>
        <w:keepNext w:val="0"/>
        <w:keepLines w:val="0"/>
        <w:pageBreakBefore w:val="0"/>
        <w:kinsoku/>
        <w:wordWrap/>
        <w:overflowPunct/>
        <w:topLinePunct w:val="0"/>
        <w:autoSpaceDE/>
        <w:autoSpaceDN/>
        <w:bidi w:val="0"/>
        <w:adjustRightInd/>
        <w:snapToGrid/>
        <w:spacing w:beforeAutospacing="0" w:line="400" w:lineRule="exact"/>
        <w:ind w:firstLine="600" w:firstLineChars="200"/>
        <w:jc w:val="left"/>
        <w:textAlignment w:val="auto"/>
        <w:rPr>
          <w:rFonts w:hint="eastAsia" w:ascii="仿宋" w:hAnsi="仿宋" w:eastAsia="仿宋" w:cs="仿宋"/>
          <w:b w:val="0"/>
          <w:bCs w:val="0"/>
          <w:sz w:val="30"/>
          <w:szCs w:val="30"/>
          <w:highlight w:val="none"/>
          <w:lang w:val="en-US" w:eastAsia="zh-CN"/>
        </w:rPr>
      </w:pPr>
      <w:r>
        <w:rPr>
          <w:rFonts w:hint="eastAsia" w:ascii="仿宋" w:hAnsi="仿宋" w:eastAsia="仿宋" w:cs="仿宋"/>
          <w:b w:val="0"/>
          <w:bCs w:val="0"/>
          <w:sz w:val="30"/>
          <w:szCs w:val="30"/>
          <w:highlight w:val="none"/>
          <w:lang w:val="en-US" w:eastAsia="zh-CN"/>
        </w:rPr>
        <w:t xml:space="preserve">3.结算方式：每月据实结算。每月结算电价=每月实际到户结算电量（以供电公司计量点关口表计量的电量为准）*（交易电价+除交易电价外的电费组成部分），实际用电量超出基础交易电量部分，浮动交易电价按交易电价单价加0.1元/兆瓦时最终形成浮动交易电价执行。合同履约期内，结算电价由采购人直接向电网企业缴纳上月电费，中标人的电价交易结算由电网企业与相应电力交易机构按相关规定另行完成。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right="0" w:firstLine="600" w:firstLineChars="200"/>
        <w:jc w:val="left"/>
        <w:textAlignment w:val="auto"/>
        <w:rPr>
          <w:rFonts w:hint="eastAsia" w:ascii="仿宋" w:hAnsi="仿宋" w:eastAsia="仿宋" w:cs="仿宋"/>
          <w:color w:val="auto"/>
          <w:sz w:val="30"/>
          <w:szCs w:val="30"/>
          <w:highlight w:val="none"/>
          <w:shd w:val="clear" w:color="auto" w:fill="auto"/>
          <w:lang w:val="en-US" w:eastAsia="zh-CN"/>
        </w:rPr>
      </w:pPr>
    </w:p>
    <w:sectPr>
      <w:footerReference r:id="rId3" w:type="default"/>
      <w:pgSz w:w="11906" w:h="16838"/>
      <w:pgMar w:top="2098" w:right="1474" w:bottom="1984" w:left="1587"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xYWNhOWQzNjNiYWY0NDgyZjIzNTNhMmNiMmFlNDQifQ=="/>
    <w:docVar w:name="KSO_WPS_MARK_KEY" w:val="76399dbf-f6db-4984-911d-8912cc12c247"/>
  </w:docVars>
  <w:rsids>
    <w:rsidRoot w:val="00000000"/>
    <w:rsid w:val="01254BA3"/>
    <w:rsid w:val="03D426D8"/>
    <w:rsid w:val="046D3805"/>
    <w:rsid w:val="047E7B5C"/>
    <w:rsid w:val="04EA24E3"/>
    <w:rsid w:val="057064CC"/>
    <w:rsid w:val="06A40F90"/>
    <w:rsid w:val="07FF7612"/>
    <w:rsid w:val="0A434869"/>
    <w:rsid w:val="0B905D8E"/>
    <w:rsid w:val="0C004584"/>
    <w:rsid w:val="0FD10BBE"/>
    <w:rsid w:val="103324D1"/>
    <w:rsid w:val="104524C2"/>
    <w:rsid w:val="109602E0"/>
    <w:rsid w:val="11112D3E"/>
    <w:rsid w:val="11FD2FE8"/>
    <w:rsid w:val="12163A49"/>
    <w:rsid w:val="14145403"/>
    <w:rsid w:val="1BBB1BBC"/>
    <w:rsid w:val="1D556936"/>
    <w:rsid w:val="1DF4614E"/>
    <w:rsid w:val="1E71779F"/>
    <w:rsid w:val="1F476625"/>
    <w:rsid w:val="22A44D63"/>
    <w:rsid w:val="22BB25DD"/>
    <w:rsid w:val="26D66D39"/>
    <w:rsid w:val="26E620A4"/>
    <w:rsid w:val="283D06F2"/>
    <w:rsid w:val="28FC47DA"/>
    <w:rsid w:val="29A749BD"/>
    <w:rsid w:val="2B2A78A3"/>
    <w:rsid w:val="2B961881"/>
    <w:rsid w:val="2E8822E7"/>
    <w:rsid w:val="306E25BE"/>
    <w:rsid w:val="31AA329C"/>
    <w:rsid w:val="326A1C8B"/>
    <w:rsid w:val="32E77BD8"/>
    <w:rsid w:val="35491FA1"/>
    <w:rsid w:val="3C5710FF"/>
    <w:rsid w:val="3F640FAD"/>
    <w:rsid w:val="41EF030D"/>
    <w:rsid w:val="447E6459"/>
    <w:rsid w:val="448D4A83"/>
    <w:rsid w:val="48901F28"/>
    <w:rsid w:val="4CAA3ACC"/>
    <w:rsid w:val="4D3C7046"/>
    <w:rsid w:val="500C20E7"/>
    <w:rsid w:val="50977394"/>
    <w:rsid w:val="5199302A"/>
    <w:rsid w:val="54C855A5"/>
    <w:rsid w:val="550C1F1C"/>
    <w:rsid w:val="56993E5F"/>
    <w:rsid w:val="56C80241"/>
    <w:rsid w:val="59D328A5"/>
    <w:rsid w:val="5A130F3C"/>
    <w:rsid w:val="5B1F7E26"/>
    <w:rsid w:val="5CD123BD"/>
    <w:rsid w:val="5F837DD1"/>
    <w:rsid w:val="60C10CF9"/>
    <w:rsid w:val="61627194"/>
    <w:rsid w:val="624878DA"/>
    <w:rsid w:val="63626535"/>
    <w:rsid w:val="637D57DA"/>
    <w:rsid w:val="64DE3ED7"/>
    <w:rsid w:val="65007760"/>
    <w:rsid w:val="66573403"/>
    <w:rsid w:val="68947BC7"/>
    <w:rsid w:val="6AEC0441"/>
    <w:rsid w:val="6B92506E"/>
    <w:rsid w:val="6CB52DA9"/>
    <w:rsid w:val="6FBC0660"/>
    <w:rsid w:val="7445564D"/>
    <w:rsid w:val="753F332B"/>
    <w:rsid w:val="774374CF"/>
    <w:rsid w:val="7E4A1147"/>
    <w:rsid w:val="7FD648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99"/>
    <w:pPr>
      <w:spacing w:before="100" w:beforeAutospacing="1"/>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paragraph" w:customStyle="1" w:styleId="10">
    <w:name w:val="null3"/>
    <w:qFormat/>
    <w:uiPriority w:val="0"/>
    <w:rPr>
      <w:rFonts w:hint="eastAsia" w:ascii="Calibri" w:hAnsi="Calibri" w:eastAsia="宋体" w:cs="Times New Roman"/>
      <w:lang w:val="en-US" w:eastAsia="zh-Hans"/>
    </w:rPr>
  </w:style>
  <w:style w:type="paragraph" w:customStyle="1" w:styleId="11">
    <w:name w:val="Table Text"/>
    <w:basedOn w:val="1"/>
    <w:semiHidden/>
    <w:qFormat/>
    <w:uiPriority w:val="0"/>
    <w:rPr>
      <w:rFonts w:ascii="宋体" w:hAnsi="宋体" w:eastAsia="宋体" w:cs="宋体"/>
      <w:sz w:val="16"/>
      <w:szCs w:val="16"/>
      <w:lang w:val="en-US" w:eastAsia="en-US" w:bidi="ar-SA"/>
    </w:rPr>
  </w:style>
  <w:style w:type="table" w:customStyle="1" w:styleId="12">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1926</Words>
  <Characters>2177</Characters>
  <Lines>0</Lines>
  <Paragraphs>0</Paragraphs>
  <TotalTime>15</TotalTime>
  <ScaleCrop>false</ScaleCrop>
  <LinksUpToDate>false</LinksUpToDate>
  <CharactersWithSpaces>2181</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2024-09-24T00:30:00Z</dcterms:created>
  <dc:creator>富顺中医院</dc:creator>
  <cp:lastModifiedBy>蜀丶阿布</cp:lastModifiedBy>
  <cp:lastPrinted>2025-05-20T07:06:00Z</cp:lastPrinted>
  <dcterms:modified xsi:type="dcterms:W3CDTF">2025-05-20T07:35:06Z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1B8DEE4607B54606B668E6A4FD485ACA_13</vt:lpwstr>
  </property>
  <property fmtid="{D5CDD505-2E9C-101B-9397-08002B2CF9AE}" pid="4" name="KSOTemplateDocerSaveRecord">
    <vt:lpwstr>eyJoZGlkIjoiODIxYmVhMGNlMjFmMTM4N2M0ZDgzNDFhNTNlODllY2IiLCJ1c2VySWQiOiI0MzQxNTU2ODAifQ==</vt:lpwstr>
  </property>
</Properties>
</file>