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center"/>
        <w:rPr>
          <w:rFonts w:hint="eastAsia" w:ascii="宋体" w:hAnsi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富顺县中医医院一批医疗设备采购项目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介绍表</w:t>
      </w:r>
    </w:p>
    <w:p>
      <w:pPr>
        <w:pStyle w:val="3"/>
        <w:rPr>
          <w:rFonts w:hint="eastAsia"/>
          <w:lang w:val="en-US" w:eastAsia="zh-CN"/>
        </w:rPr>
      </w:pPr>
    </w:p>
    <w:tbl>
      <w:tblPr>
        <w:tblStyle w:val="10"/>
        <w:tblW w:w="141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6"/>
        <w:gridCol w:w="1513"/>
        <w:gridCol w:w="4737"/>
        <w:gridCol w:w="700"/>
        <w:gridCol w:w="858"/>
        <w:gridCol w:w="2211"/>
        <w:gridCol w:w="1178"/>
        <w:gridCol w:w="1522"/>
        <w:gridCol w:w="83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设备名称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（产品注册证名称）</w:t>
            </w:r>
          </w:p>
        </w:tc>
        <w:tc>
          <w:tcPr>
            <w:tcW w:w="4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基本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参数要求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品牌</w:t>
            </w: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产品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特征描述（技术参数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必须满足3个品牌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报价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满足所报参数的其他两个品牌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彩色超声多普勒仪</w:t>
            </w:r>
          </w:p>
        </w:tc>
        <w:tc>
          <w:tcPr>
            <w:tcW w:w="4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2"/>
              <w:numPr>
                <w:ilvl w:val="0"/>
                <w:numId w:val="1"/>
              </w:numPr>
              <w:tabs>
                <w:tab w:val="left" w:pos="142"/>
                <w:tab w:val="left" w:pos="426"/>
              </w:tabs>
              <w:spacing w:line="400" w:lineRule="exact"/>
              <w:ind w:left="0" w:firstLine="0" w:firstLineChars="0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 w:cs="Arial"/>
                <w:szCs w:val="21"/>
              </w:rPr>
              <w:t>用途说明：</w:t>
            </w:r>
            <w:r>
              <w:rPr>
                <w:rFonts w:hint="eastAsia" w:ascii="微软雅黑" w:hAnsi="微软雅黑" w:eastAsia="微软雅黑"/>
                <w:szCs w:val="21"/>
              </w:rPr>
              <w:t>腹部、心脏、小器官、血管、甲乳、妇科、产科、儿科、急重诊、麻醉等其它</w:t>
            </w:r>
          </w:p>
          <w:p>
            <w:pPr>
              <w:pStyle w:val="22"/>
              <w:numPr>
                <w:ilvl w:val="0"/>
                <w:numId w:val="1"/>
              </w:numPr>
              <w:tabs>
                <w:tab w:val="left" w:pos="142"/>
                <w:tab w:val="left" w:pos="426"/>
              </w:tabs>
              <w:spacing w:line="400" w:lineRule="exact"/>
              <w:ind w:left="0" w:firstLine="0" w:firstLineChars="0"/>
              <w:rPr>
                <w:rFonts w:hint="eastAsia" w:ascii="微软雅黑" w:hAnsi="微软雅黑" w:eastAsia="微软雅黑" w:cs="Arial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/>
                <w:szCs w:val="21"/>
                <w:lang w:eastAsia="zh-CN"/>
              </w:rPr>
              <w:t>功能要求</w:t>
            </w:r>
            <w:r>
              <w:rPr>
                <w:rFonts w:hint="eastAsia" w:ascii="微软雅黑" w:hAnsi="微软雅黑" w:eastAsia="微软雅黑"/>
                <w:szCs w:val="21"/>
              </w:rPr>
              <w:t>：</w:t>
            </w:r>
            <w:r>
              <w:rPr>
                <w:rFonts w:hint="eastAsia" w:ascii="微软雅黑" w:hAnsi="微软雅黑" w:eastAsia="微软雅黑"/>
                <w:szCs w:val="21"/>
                <w:lang w:eastAsia="zh-CN"/>
              </w:rPr>
              <w:t>具有</w:t>
            </w:r>
            <w:r>
              <w:rPr>
                <w:rFonts w:hint="eastAsia" w:ascii="微软雅黑" w:hAnsi="微软雅黑" w:eastAsia="微软雅黑" w:cs="Arial"/>
                <w:szCs w:val="21"/>
              </w:rPr>
              <w:t>解剖M型</w:t>
            </w:r>
            <w:r>
              <w:rPr>
                <w:rFonts w:hint="eastAsia" w:ascii="微软雅黑" w:hAnsi="微软雅黑" w:eastAsia="微软雅黑" w:cs="Arial"/>
                <w:szCs w:val="21"/>
                <w:lang w:eastAsia="zh-CN"/>
              </w:rPr>
              <w:t>、</w:t>
            </w:r>
            <w:r>
              <w:rPr>
                <w:rFonts w:hint="eastAsia" w:ascii="微软雅黑" w:hAnsi="微软雅黑" w:eastAsia="微软雅黑"/>
                <w:szCs w:val="21"/>
                <w:lang w:eastAsia="zh-CN"/>
              </w:rPr>
              <w:t>具有</w:t>
            </w:r>
            <w:r>
              <w:rPr>
                <w:rFonts w:hint="eastAsia" w:ascii="微软雅黑" w:hAnsi="微软雅黑" w:eastAsia="微软雅黑" w:cs="Arial"/>
                <w:szCs w:val="21"/>
              </w:rPr>
              <w:t>彩色多普勒成像、频谱多普勒成像</w:t>
            </w:r>
            <w:r>
              <w:rPr>
                <w:rFonts w:hint="eastAsia" w:ascii="微软雅黑" w:hAnsi="微软雅黑" w:eastAsia="微软雅黑" w:cs="Arial"/>
                <w:szCs w:val="21"/>
                <w:lang w:eastAsia="zh-CN"/>
              </w:rPr>
              <w:t>、</w:t>
            </w:r>
            <w:r>
              <w:rPr>
                <w:rFonts w:hint="eastAsia" w:ascii="微软雅黑" w:hAnsi="微软雅黑" w:eastAsia="微软雅黑"/>
                <w:szCs w:val="21"/>
                <w:lang w:eastAsia="zh-CN"/>
              </w:rPr>
              <w:t>具有</w:t>
            </w:r>
            <w:r>
              <w:rPr>
                <w:rFonts w:hint="eastAsia" w:ascii="微软雅黑" w:hAnsi="微软雅黑" w:eastAsia="微软雅黑" w:cs="Arial"/>
                <w:szCs w:val="21"/>
              </w:rPr>
              <w:t>组织多普勒成像</w:t>
            </w:r>
            <w:r>
              <w:rPr>
                <w:rFonts w:hint="eastAsia" w:ascii="微软雅黑" w:hAnsi="微软雅黑" w:eastAsia="微软雅黑" w:cs="Arial"/>
                <w:szCs w:val="21"/>
                <w:lang w:eastAsia="zh-CN"/>
              </w:rPr>
              <w:t>、</w:t>
            </w:r>
            <w:r>
              <w:rPr>
                <w:rFonts w:hint="eastAsia" w:ascii="微软雅黑" w:hAnsi="微软雅黑" w:eastAsia="微软雅黑"/>
                <w:szCs w:val="21"/>
                <w:lang w:eastAsia="zh-CN"/>
              </w:rPr>
              <w:t>具有</w:t>
            </w:r>
            <w:r>
              <w:rPr>
                <w:rFonts w:hint="eastAsia" w:ascii="微软雅黑" w:hAnsi="微软雅黑" w:eastAsia="微软雅黑" w:cs="Arial"/>
                <w:color w:val="000000"/>
                <w:szCs w:val="21"/>
              </w:rPr>
              <w:t>实时宽景成像</w:t>
            </w:r>
            <w:r>
              <w:rPr>
                <w:rFonts w:hint="eastAsia" w:ascii="微软雅黑" w:hAnsi="微软雅黑" w:eastAsia="微软雅黑" w:cs="Arial"/>
                <w:color w:val="000000"/>
                <w:szCs w:val="21"/>
                <w:lang w:eastAsia="zh-CN"/>
              </w:rPr>
              <w:t>、</w:t>
            </w:r>
            <w:r>
              <w:rPr>
                <w:rFonts w:hint="eastAsia" w:ascii="微软雅黑" w:hAnsi="微软雅黑" w:eastAsia="微软雅黑"/>
                <w:szCs w:val="21"/>
                <w:lang w:eastAsia="zh-CN"/>
              </w:rPr>
              <w:t>具有</w:t>
            </w:r>
            <w:r>
              <w:rPr>
                <w:rFonts w:hint="eastAsia" w:ascii="微软雅黑" w:hAnsi="微软雅黑" w:eastAsia="微软雅黑"/>
                <w:color w:val="000000"/>
                <w:szCs w:val="21"/>
                <w:lang w:val="en-US" w:eastAsia="zh-CN"/>
              </w:rPr>
              <w:t>自动</w:t>
            </w: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盆底</w:t>
            </w:r>
            <w:r>
              <w:rPr>
                <w:rFonts w:hint="eastAsia" w:ascii="微软雅黑" w:hAnsi="微软雅黑" w:eastAsia="微软雅黑"/>
                <w:color w:val="000000"/>
                <w:szCs w:val="21"/>
                <w:lang w:val="en-US" w:eastAsia="zh-CN"/>
              </w:rPr>
              <w:t>超声</w:t>
            </w: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解决方案</w:t>
            </w:r>
            <w:r>
              <w:rPr>
                <w:rFonts w:hint="eastAsia" w:ascii="微软雅黑" w:hAnsi="微软雅黑" w:eastAsia="微软雅黑"/>
                <w:color w:val="000000"/>
                <w:szCs w:val="21"/>
                <w:lang w:eastAsia="zh-CN"/>
              </w:rPr>
              <w:t>、</w:t>
            </w:r>
            <w:r>
              <w:rPr>
                <w:rFonts w:hint="eastAsia" w:ascii="微软雅黑" w:hAnsi="微软雅黑" w:eastAsia="微软雅黑"/>
                <w:szCs w:val="21"/>
                <w:lang w:eastAsia="zh-CN"/>
              </w:rPr>
              <w:t>具有</w:t>
            </w:r>
            <w:r>
              <w:rPr>
                <w:rFonts w:hint="eastAsia" w:ascii="微软雅黑" w:hAnsi="微软雅黑" w:eastAsia="微软雅黑" w:cs="Arial"/>
                <w:szCs w:val="21"/>
                <w:lang w:val="en-US" w:eastAsia="zh-CN"/>
              </w:rPr>
              <w:t>支持</w:t>
            </w: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造影</w:t>
            </w:r>
            <w:r>
              <w:rPr>
                <w:rFonts w:hint="eastAsia" w:ascii="微软雅黑" w:hAnsi="微软雅黑" w:eastAsia="微软雅黑"/>
                <w:color w:val="000000"/>
                <w:szCs w:val="21"/>
                <w:lang w:val="en-US" w:eastAsia="zh-CN"/>
              </w:rPr>
              <w:t>成像及造影</w:t>
            </w: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定量分析</w:t>
            </w:r>
            <w:r>
              <w:rPr>
                <w:rFonts w:hint="eastAsia" w:ascii="微软雅黑" w:hAnsi="微软雅黑" w:eastAsia="微软雅黑"/>
                <w:color w:val="000000"/>
                <w:szCs w:val="21"/>
                <w:lang w:eastAsia="zh-CN"/>
              </w:rPr>
              <w:t>、</w:t>
            </w:r>
            <w:r>
              <w:rPr>
                <w:rFonts w:hint="eastAsia" w:ascii="微软雅黑" w:hAnsi="微软雅黑" w:eastAsia="微软雅黑"/>
                <w:szCs w:val="21"/>
                <w:lang w:eastAsia="zh-CN"/>
              </w:rPr>
              <w:t>具有</w:t>
            </w:r>
            <w:r>
              <w:rPr>
                <w:rFonts w:hint="eastAsia" w:ascii="微软雅黑" w:hAnsi="微软雅黑" w:eastAsia="微软雅黑" w:cs="Arial"/>
                <w:szCs w:val="21"/>
                <w:lang w:eastAsia="zh-CN"/>
              </w:rPr>
              <w:t>支持应变式弹性成像、</w:t>
            </w:r>
            <w:r>
              <w:rPr>
                <w:rFonts w:hint="eastAsia" w:ascii="微软雅黑" w:hAnsi="微软雅黑" w:eastAsia="微软雅黑"/>
                <w:szCs w:val="21"/>
                <w:lang w:eastAsia="zh-CN"/>
              </w:rPr>
              <w:t>具有</w:t>
            </w:r>
            <w:r>
              <w:rPr>
                <w:rFonts w:hint="eastAsia" w:ascii="微软雅黑" w:hAnsi="微软雅黑" w:eastAsia="微软雅黑" w:cs="Arial"/>
                <w:szCs w:val="21"/>
                <w:lang w:eastAsia="zh-CN"/>
              </w:rPr>
              <w:t>支持剪切波定量式弹性成像功能</w:t>
            </w:r>
          </w:p>
          <w:p>
            <w:pPr>
              <w:pStyle w:val="22"/>
              <w:numPr>
                <w:ilvl w:val="0"/>
                <w:numId w:val="0"/>
              </w:numPr>
              <w:spacing w:line="400" w:lineRule="exact"/>
              <w:ind w:leftChars="0"/>
              <w:jc w:val="left"/>
              <w:rPr>
                <w:rFonts w:hint="default" w:ascii="微软雅黑" w:hAnsi="微软雅黑" w:eastAsia="微软雅黑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color w:val="000000"/>
                <w:szCs w:val="21"/>
                <w:lang w:val="en-US" w:eastAsia="zh-CN"/>
              </w:rPr>
              <w:t>三、探头配置要求：腹部</w:t>
            </w:r>
            <w:r>
              <w:rPr>
                <w:rFonts w:hint="eastAsia" w:ascii="微软雅黑" w:hAnsi="微软雅黑" w:eastAsia="微软雅黑"/>
                <w:szCs w:val="21"/>
              </w:rPr>
              <w:t>探头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1把</w:t>
            </w:r>
            <w:r>
              <w:rPr>
                <w:rFonts w:hint="eastAsia" w:ascii="微软雅黑" w:hAnsi="微软雅黑" w:eastAsia="微软雅黑"/>
                <w:szCs w:val="21"/>
              </w:rPr>
              <w:t>，心脏探头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1把</w:t>
            </w:r>
            <w:r>
              <w:rPr>
                <w:rFonts w:hint="eastAsia" w:ascii="微软雅黑" w:hAnsi="微软雅黑" w:eastAsia="微软雅黑"/>
                <w:szCs w:val="21"/>
              </w:rPr>
              <w:t>，浅表探头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1把</w:t>
            </w:r>
            <w:r>
              <w:rPr>
                <w:rFonts w:hint="eastAsia" w:ascii="微软雅黑" w:hAnsi="微软雅黑" w:eastAsia="微软雅黑"/>
                <w:szCs w:val="21"/>
              </w:rPr>
              <w:t>，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腔内</w:t>
            </w:r>
            <w:r>
              <w:rPr>
                <w:rFonts w:hint="eastAsia" w:ascii="微软雅黑" w:hAnsi="微软雅黑" w:eastAsia="微软雅黑"/>
                <w:szCs w:val="21"/>
              </w:rPr>
              <w:t>探头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1把</w:t>
            </w:r>
            <w:r>
              <w:rPr>
                <w:rFonts w:hint="eastAsia" w:ascii="微软雅黑" w:hAnsi="微软雅黑" w:eastAsia="微软雅黑"/>
                <w:szCs w:val="21"/>
              </w:rPr>
              <w:t>，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一线一凸双平面探头1把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三折床</w:t>
            </w:r>
          </w:p>
        </w:tc>
        <w:tc>
          <w:tcPr>
            <w:tcW w:w="4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材质:床头床位ABS材质，床身框架结构 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、配备轮子、餐板、带置物架、床垫、床头柜、床头柜、输液杆，6档护栏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3、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床头柜三层式结构，上部抽板，中间为抽屉，下部为带门密闭箱体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除颤监护仪</w:t>
            </w:r>
          </w:p>
        </w:tc>
        <w:tc>
          <w:tcPr>
            <w:tcW w:w="4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1、主要功能:可支持体外除颤，≥7 英寸彩色 TFT 显示器，分辨率≥800*480像素；三通道，波形显示时间;不小于16S(ECG)，双相指数截断波形，可根据病人阻进行自动补偿；充电到 200J&lt;5s，充电到 360J&lt;8s，电击能量 50-360J   2、具备心电、呼吸、血氧饱和度监测功能;   3、具备良好的防尘防水性能。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糖尿病周围神经血管检测仪</w:t>
            </w:r>
          </w:p>
        </w:tc>
        <w:tc>
          <w:tcPr>
            <w:tcW w:w="4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1、功能：定量检查糖尿病周围神经病变及测量血流波形检查患者血管病变2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、基本要求：检测手柄震动频率50HZ,最大振幅峰-峰值约25um，软件要求：连接医院HIS、LIS系统、国家糖尿病大数据平台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、配置震动主机、震动检测手柄、双向多普勒主机、多普勒探头、血压表头、血压袖带、足趾袖带、立体声耳机、专业分析软键盘 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病人监护仪</w:t>
            </w:r>
          </w:p>
        </w:tc>
        <w:tc>
          <w:tcPr>
            <w:tcW w:w="4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1、模块化插件式监护仪，主机、显示屏和插件槽一体化设计，和主机插槽数≥6个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2、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屏幕≥15英寸，高分辨率≥1920*1080像素，8通达显示，基本功能模块从监护仪拔出后作为一个独立的监护仪支持无缝转移，显示屏≥5英寸 3、基本功能支持心电、呼吸、心率、无创血压、血氧饱和度、脉搏、双通道体温和双通道有创血压 4、支持房颤心律失常分析，≥25种实时心律失常，提供ST段分析功能，5、具备血液动力学、药物计算，氧合计算、通气计算、肾功能计算6、具备≥40小时全息波形储存和回顾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麻醉机</w:t>
            </w:r>
          </w:p>
        </w:tc>
        <w:tc>
          <w:tcPr>
            <w:tcW w:w="4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1、标配氧气、空气双气源，可选笑气气源 ，全电子流量计设置氧浓度和总流量，挥发罐和麻醉机品牌一致，最小潮气量≤10ml，内置≥3个槽位，具有回路整体加温功能，监测参数：呼吸频率、潮气量、分钟通气量、呼吸比、气道压、气道阻力、顺应性、呼末CO2监测。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非接触式眼压计</w:t>
            </w:r>
          </w:p>
        </w:tc>
        <w:tc>
          <w:tcPr>
            <w:tcW w:w="4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1、用于眼压测量，是诊断眼科疾病不可缺少的工具 2、全自动测量、半自动、手动测量三合一3、操作屏幕180度任意方位旋转 4、显示屏≥8寸，分辨率大于等于1024*600，翻转角度上下180°，左右60°5、 测量范围：0-60mmHg(包含30/60mmHg 间自由切换)，具有自动测量、二十四小时动态眼压测量功能6、具有内置打印功能，可升降台桌。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电脑验光仪</w:t>
            </w:r>
          </w:p>
        </w:tc>
        <w:tc>
          <w:tcPr>
            <w:tcW w:w="4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1、监测患者眼镜屈光状态、角膜形态、瞳距，配升降台桌 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人体成分分析仪</w:t>
            </w:r>
          </w:p>
        </w:tc>
        <w:tc>
          <w:tcPr>
            <w:tcW w:w="4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1、评估身体状态、检测身体水分、无机盐、蛋白质和脂肪含量 2、肌肉脂肪及肌肉均衡分析3、肥胖分析及重量控制4、健康诊断及营养评估指导。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智能中医四诊仪</w:t>
            </w:r>
          </w:p>
        </w:tc>
        <w:tc>
          <w:tcPr>
            <w:tcW w:w="4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设备功能含有舌象、面色、脉象、问诊(体质辨识)等采集分析等功能，2、舌象、面象采集窗口光源照度值允差范围:≤±10%4、自动分析面象特征，面色分析方向&gt;4个，需包含:面部面色分析、面部面色3、面部整体面色分析结果&gt;11种 4、中医四诊合参体质辨识功能，须根据中医舌象、面象、脉象及问诊等客观四诊化信息，自动识别出不低于12种体质辨识及25种中医脏腑辨证分型。5、女性体质辨识系统测评量表≥2套，具备女性从备孕、孕期功能模块6、中医儿童体质辨识模块测评量表≥2套;年龄段为0-6岁、7-12 岁两个阶段。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医用红外线热像仪</w:t>
            </w:r>
          </w:p>
        </w:tc>
        <w:tc>
          <w:tcPr>
            <w:tcW w:w="4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1、使用人体自身辐射而形成热图像2、帧像素≥640*480*14Bit ，温度分辨率≤0.05℃，图像具有8中宽窗显示图像3、配置：红外摄像装置、应用软件（中医体质、体检软件、疼痛康复软件、中医辨证等）、工作报告站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子午流注低频治疗仪</w:t>
            </w:r>
          </w:p>
        </w:tc>
        <w:tc>
          <w:tcPr>
            <w:tcW w:w="4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、子午流注低频治疗仪用于低频治疗，主要用于兴奋神经肌肉组织和镇痛2、具备子午流注、灵龟八法、飞腾八法三种选穴方法。3、具备逢时开穴、定时开穴、任意时间开穴查询功能。4、操作屏幕≥17英寸，可实现双通道独立治疗，每通道可同时对二十个穴位进行治疗，每路治疗电极线均配备单独的控制旋钮，治疗穴位图须采用立体三维解剖图标识穴位位置 5、配置：主机、挂线架、台车、电机线 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人体针灸穴位光电感应交互数字系统</w:t>
            </w:r>
          </w:p>
        </w:tc>
        <w:tc>
          <w:tcPr>
            <w:tcW w:w="4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1、用于中医教学使用 2、系统内容包含十四经络、针灸治疗、系统设置模块 3、系统功能包含软硬件同步、语音功能、穴位提示功能、经络遁形、穴位详情、可对3D数字模型进行缩放、平移、含有9大人体解剖系统 4、配置：含支架的多点触控系统 、带肌肉解剖的仿真人体模型（约170cm）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心电监护仪</w:t>
            </w:r>
          </w:p>
        </w:tc>
        <w:tc>
          <w:tcPr>
            <w:tcW w:w="4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1、具有监测病人心电、血压、血氧饱和度生命体征功能，具有报警功能 2、配置主机、血压导联、心电导联、血氧导联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微量注射泵</w:t>
            </w:r>
          </w:p>
        </w:tc>
        <w:tc>
          <w:tcPr>
            <w:tcW w:w="4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配置20ml、50ml、60ml注射器，带有储电功能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输液泵</w:t>
            </w:r>
          </w:p>
        </w:tc>
        <w:tc>
          <w:tcPr>
            <w:tcW w:w="4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带支架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陪伴椅</w:t>
            </w:r>
          </w:p>
        </w:tc>
        <w:tc>
          <w:tcPr>
            <w:tcW w:w="4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带轮可折叠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治疗车</w:t>
            </w:r>
          </w:p>
        </w:tc>
        <w:tc>
          <w:tcPr>
            <w:tcW w:w="4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不锈钢材质，宽约40cm，高约100cm，长约70cm，双层带双抽</w:t>
            </w:r>
            <w:bookmarkStart w:id="0" w:name="_GoBack"/>
            <w:bookmarkEnd w:id="0"/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不锈钢器械柜</w:t>
            </w:r>
          </w:p>
        </w:tc>
        <w:tc>
          <w:tcPr>
            <w:tcW w:w="4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不锈钢材质，四开门，上面四层，为玻璃门；下面2层为不锈钢门 ；尺寸约950cm*400cm*750cm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临时起搏器</w:t>
            </w:r>
          </w:p>
        </w:tc>
        <w:tc>
          <w:tcPr>
            <w:tcW w:w="4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单腔、进口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b w:val="0"/>
          <w:bCs w:val="0"/>
          <w:color w:val="FF000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eastAsia="zh-CN"/>
        </w:rPr>
        <w:t>备注：</w:t>
      </w:r>
      <w:r>
        <w:rPr>
          <w:rFonts w:hint="eastAsia"/>
          <w:b w:val="0"/>
          <w:bCs w:val="0"/>
          <w:color w:val="FF0000"/>
          <w:sz w:val="24"/>
          <w:szCs w:val="24"/>
          <w:lang w:val="en-US" w:eastAsia="zh-CN"/>
        </w:rPr>
        <w:t>1、参与调研公司必须全部满足我院基本参数要求，否则调研报告视无效；附报价品牌其他医院中标价佐证材料。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 xml:space="preserve">    2、设备名称在满足基本参数的前提下，以报价产品注册证名称为准。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720" w:firstLineChars="300"/>
        <w:textAlignment w:val="auto"/>
        <w:rPr>
          <w:rFonts w:hint="default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3、产品特征描述（技术参数）：除我院基本参数要求外，产品的详细技术参数及配置清单；所报技术参数必须满足三个品牌，并附上其他品牌设备技术参数情况。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720" w:firstLineChars="300"/>
        <w:textAlignment w:val="auto"/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4、产品特征描述（技术参数）条数太多可另附页列举。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720" w:firstLineChars="300"/>
        <w:textAlignment w:val="auto"/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5、报价要求：①所有报价均用人民币表示，报价是响应本项目要求的全部工作内容的验收价格，包括完成本项目所需的一切费用。②同一报价表内任何有选择或可调整的报价将按无效响应处理。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w:pict>
        <v:shape id="_x0000_s3073" o:spid="_x0000_s3073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7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C24ACB"/>
    <w:multiLevelType w:val="multilevel"/>
    <w:tmpl w:val="33C24ACB"/>
    <w:lvl w:ilvl="0" w:tentative="0">
      <w:start w:val="1"/>
      <w:numFmt w:val="chineseCountingThousand"/>
      <w:lvlText w:val="%1、"/>
      <w:lvlJc w:val="left"/>
      <w:pPr>
        <w:ind w:left="420" w:hanging="420"/>
      </w:pPr>
      <w:rPr>
        <w:b w:val="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jJjODVkMGQ3NTZjOTY3ZDk3ZDQwMzNjODNmNWM5OGQifQ=="/>
  </w:docVars>
  <w:rsids>
    <w:rsidRoot w:val="007A09D3"/>
    <w:rsid w:val="00001A10"/>
    <w:rsid w:val="00042B6A"/>
    <w:rsid w:val="00050F0E"/>
    <w:rsid w:val="0011260B"/>
    <w:rsid w:val="00140F59"/>
    <w:rsid w:val="001A7C72"/>
    <w:rsid w:val="00447D8F"/>
    <w:rsid w:val="0045305B"/>
    <w:rsid w:val="004C6A0E"/>
    <w:rsid w:val="006655B1"/>
    <w:rsid w:val="006713D9"/>
    <w:rsid w:val="006C5288"/>
    <w:rsid w:val="00742F1D"/>
    <w:rsid w:val="00746383"/>
    <w:rsid w:val="007A09D3"/>
    <w:rsid w:val="008C3668"/>
    <w:rsid w:val="009134CF"/>
    <w:rsid w:val="00940C7A"/>
    <w:rsid w:val="009E59F0"/>
    <w:rsid w:val="00A30C71"/>
    <w:rsid w:val="00A7337F"/>
    <w:rsid w:val="00BB630D"/>
    <w:rsid w:val="00D64A84"/>
    <w:rsid w:val="00F00C57"/>
    <w:rsid w:val="00F1370E"/>
    <w:rsid w:val="02915FFF"/>
    <w:rsid w:val="04F65FC1"/>
    <w:rsid w:val="09446B26"/>
    <w:rsid w:val="0C020F72"/>
    <w:rsid w:val="0C085D6A"/>
    <w:rsid w:val="0CCB1F37"/>
    <w:rsid w:val="0CEC5D1C"/>
    <w:rsid w:val="0D227518"/>
    <w:rsid w:val="0F287977"/>
    <w:rsid w:val="0FC9722E"/>
    <w:rsid w:val="11C20F95"/>
    <w:rsid w:val="17941CF3"/>
    <w:rsid w:val="19DA4E1F"/>
    <w:rsid w:val="1B7B0770"/>
    <w:rsid w:val="1D247FA7"/>
    <w:rsid w:val="1DFE2206"/>
    <w:rsid w:val="221A42B9"/>
    <w:rsid w:val="2A235597"/>
    <w:rsid w:val="2A433BCA"/>
    <w:rsid w:val="2B16268D"/>
    <w:rsid w:val="2C855E74"/>
    <w:rsid w:val="2D621327"/>
    <w:rsid w:val="311904EA"/>
    <w:rsid w:val="316D0182"/>
    <w:rsid w:val="33CC6163"/>
    <w:rsid w:val="3B1943B2"/>
    <w:rsid w:val="3BFC50CB"/>
    <w:rsid w:val="40EC6145"/>
    <w:rsid w:val="4250579A"/>
    <w:rsid w:val="4313798F"/>
    <w:rsid w:val="432B7FC0"/>
    <w:rsid w:val="48E1539E"/>
    <w:rsid w:val="49B37A47"/>
    <w:rsid w:val="4CD233F7"/>
    <w:rsid w:val="4D9D78D7"/>
    <w:rsid w:val="5201764D"/>
    <w:rsid w:val="52AF02BB"/>
    <w:rsid w:val="52FC5B62"/>
    <w:rsid w:val="56B758CC"/>
    <w:rsid w:val="57B046EE"/>
    <w:rsid w:val="57D170F0"/>
    <w:rsid w:val="5EB02700"/>
    <w:rsid w:val="64300B2F"/>
    <w:rsid w:val="664841D8"/>
    <w:rsid w:val="67353748"/>
    <w:rsid w:val="67743017"/>
    <w:rsid w:val="690070AC"/>
    <w:rsid w:val="69DC73E3"/>
    <w:rsid w:val="6A920EDB"/>
    <w:rsid w:val="6A941CB2"/>
    <w:rsid w:val="6BB20377"/>
    <w:rsid w:val="6C155A2E"/>
    <w:rsid w:val="72456638"/>
    <w:rsid w:val="726A233E"/>
    <w:rsid w:val="72D972B1"/>
    <w:rsid w:val="7582315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ascii="宋体" w:cs="宋体"/>
      <w:color w:val="000000"/>
      <w:kern w:val="0"/>
      <w:sz w:val="24"/>
    </w:rPr>
  </w:style>
  <w:style w:type="paragraph" w:styleId="3">
    <w:name w:val="Body Text"/>
    <w:basedOn w:val="1"/>
    <w:next w:val="4"/>
    <w:link w:val="14"/>
    <w:unhideWhenUsed/>
    <w:qFormat/>
    <w:uiPriority w:val="99"/>
    <w:pPr>
      <w:spacing w:before="100" w:beforeAutospacing="1"/>
    </w:pPr>
  </w:style>
  <w:style w:type="paragraph" w:styleId="4">
    <w:name w:val="Body Text First Indent"/>
    <w:basedOn w:val="3"/>
    <w:next w:val="5"/>
    <w:autoRedefine/>
    <w:unhideWhenUsed/>
    <w:qFormat/>
    <w:uiPriority w:val="99"/>
    <w:pPr>
      <w:ind w:firstLine="420" w:firstLineChars="100"/>
    </w:pPr>
  </w:style>
  <w:style w:type="paragraph" w:customStyle="1" w:styleId="5">
    <w:name w:val="段落正文"/>
    <w:basedOn w:val="1"/>
    <w:qFormat/>
    <w:uiPriority w:val="99"/>
    <w:pPr>
      <w:spacing w:beforeLines="50" w:line="360" w:lineRule="auto"/>
      <w:ind w:firstLine="200" w:firstLineChars="200"/>
    </w:pPr>
    <w:rPr>
      <w:spacing w:val="2"/>
      <w:sz w:val="24"/>
      <w:szCs w:val="20"/>
    </w:rPr>
  </w:style>
  <w:style w:type="paragraph" w:styleId="6">
    <w:name w:val="Body Text Indent"/>
    <w:basedOn w:val="1"/>
    <w:link w:val="12"/>
    <w:autoRedefine/>
    <w:semiHidden/>
    <w:unhideWhenUsed/>
    <w:qFormat/>
    <w:uiPriority w:val="99"/>
    <w:pPr>
      <w:spacing w:after="120"/>
      <w:ind w:left="420" w:leftChars="200"/>
    </w:pPr>
  </w:style>
  <w:style w:type="paragraph" w:styleId="7">
    <w:name w:val="footer"/>
    <w:basedOn w:val="1"/>
    <w:link w:val="16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First Indent 2"/>
    <w:basedOn w:val="6"/>
    <w:link w:val="13"/>
    <w:semiHidden/>
    <w:unhideWhenUsed/>
    <w:qFormat/>
    <w:uiPriority w:val="99"/>
    <w:pPr>
      <w:spacing w:before="100" w:beforeAutospacing="1" w:line="480" w:lineRule="exact"/>
      <w:ind w:left="0" w:leftChars="0" w:firstLine="420"/>
    </w:pPr>
    <w:rPr>
      <w:sz w:val="28"/>
      <w:szCs w:val="28"/>
    </w:rPr>
  </w:style>
  <w:style w:type="character" w:customStyle="1" w:styleId="12">
    <w:name w:val="正文文本缩进 Char"/>
    <w:basedOn w:val="11"/>
    <w:link w:val="6"/>
    <w:autoRedefine/>
    <w:semiHidden/>
    <w:qFormat/>
    <w:uiPriority w:val="99"/>
    <w:rPr>
      <w:rFonts w:ascii="Calibri" w:hAnsi="Calibri" w:eastAsia="宋体" w:cs="Times New Roman"/>
      <w:szCs w:val="21"/>
    </w:rPr>
  </w:style>
  <w:style w:type="character" w:customStyle="1" w:styleId="13">
    <w:name w:val="正文首行缩进 2 Char"/>
    <w:basedOn w:val="12"/>
    <w:link w:val="9"/>
    <w:autoRedefine/>
    <w:semiHidden/>
    <w:qFormat/>
    <w:uiPriority w:val="99"/>
    <w:rPr>
      <w:sz w:val="28"/>
      <w:szCs w:val="28"/>
    </w:rPr>
  </w:style>
  <w:style w:type="character" w:customStyle="1" w:styleId="14">
    <w:name w:val="正文文本 Char"/>
    <w:basedOn w:val="11"/>
    <w:link w:val="3"/>
    <w:qFormat/>
    <w:uiPriority w:val="99"/>
    <w:rPr>
      <w:rFonts w:ascii="Calibri" w:hAnsi="Calibri" w:eastAsia="宋体" w:cs="Times New Roman"/>
      <w:szCs w:val="21"/>
    </w:rPr>
  </w:style>
  <w:style w:type="character" w:customStyle="1" w:styleId="15">
    <w:name w:val="页眉 Char"/>
    <w:basedOn w:val="11"/>
    <w:link w:val="8"/>
    <w:autoRedefine/>
    <w:semiHidden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6">
    <w:name w:val="页脚 Char"/>
    <w:basedOn w:val="11"/>
    <w:link w:val="7"/>
    <w:autoRedefine/>
    <w:semiHidden/>
    <w:qFormat/>
    <w:uiPriority w:val="99"/>
    <w:rPr>
      <w:rFonts w:ascii="Calibri" w:hAnsi="Calibri"/>
      <w:kern w:val="2"/>
      <w:sz w:val="18"/>
      <w:szCs w:val="18"/>
    </w:rPr>
  </w:style>
  <w:style w:type="paragraph" w:customStyle="1" w:styleId="17">
    <w:name w:val="21、合同二级标题序号"/>
    <w:basedOn w:val="1"/>
    <w:autoRedefine/>
    <w:qFormat/>
    <w:uiPriority w:val="0"/>
    <w:pPr>
      <w:tabs>
        <w:tab w:val="left" w:pos="0"/>
      </w:tabs>
      <w:wordWrap w:val="0"/>
      <w:topLinePunct/>
      <w:spacing w:before="100" w:beforeAutospacing="1" w:after="100" w:afterAutospacing="1"/>
      <w:ind w:firstLine="803" w:firstLineChars="200"/>
      <w:outlineLvl w:val="1"/>
    </w:pPr>
    <w:rPr>
      <w:rFonts w:ascii="宋体" w:hAnsi="宋体"/>
      <w:b/>
      <w:snapToGrid w:val="0"/>
      <w:szCs w:val="24"/>
    </w:rPr>
  </w:style>
  <w:style w:type="paragraph" w:customStyle="1" w:styleId="18">
    <w:name w:val="05、“(一)”正文三级标题"/>
    <w:basedOn w:val="1"/>
    <w:autoRedefine/>
    <w:qFormat/>
    <w:uiPriority w:val="0"/>
    <w:pPr>
      <w:wordWrap w:val="0"/>
      <w:topLinePunct/>
      <w:spacing w:before="100" w:beforeAutospacing="1" w:after="100" w:afterAutospacing="1"/>
      <w:ind w:firstLine="803" w:firstLineChars="200"/>
    </w:pPr>
    <w:rPr>
      <w:rFonts w:ascii="宋体" w:hAnsi="宋体" w:cs="宋体"/>
      <w:szCs w:val="24"/>
    </w:rPr>
  </w:style>
  <w:style w:type="paragraph" w:customStyle="1" w:styleId="19">
    <w:name w:val="15、“一、”二级标题"/>
    <w:basedOn w:val="1"/>
    <w:qFormat/>
    <w:uiPriority w:val="0"/>
    <w:pPr>
      <w:wordWrap w:val="0"/>
      <w:topLinePunct/>
      <w:spacing w:before="100" w:beforeAutospacing="1" w:after="100" w:afterAutospacing="1"/>
      <w:ind w:firstLine="803" w:firstLineChars="200"/>
      <w:outlineLvl w:val="1"/>
    </w:pPr>
    <w:rPr>
      <w:rFonts w:ascii="宋体" w:hAnsi="宋体" w:cs="宋体"/>
      <w:b/>
      <w:szCs w:val="24"/>
    </w:rPr>
  </w:style>
  <w:style w:type="character" w:customStyle="1" w:styleId="20">
    <w:name w:val="15"/>
    <w:basedOn w:val="11"/>
    <w:autoRedefine/>
    <w:qFormat/>
    <w:uiPriority w:val="0"/>
    <w:rPr>
      <w:rFonts w:hint="default" w:ascii="Times New Roman" w:hAnsi="Times New Roman" w:cs="Times New Roman"/>
      <w:color w:val="0000FF"/>
      <w:u w:val="single"/>
    </w:rPr>
  </w:style>
  <w:style w:type="paragraph" w:customStyle="1" w:styleId="21">
    <w:name w:val="17“1.”四级标题"/>
    <w:basedOn w:val="1"/>
    <w:autoRedefine/>
    <w:qFormat/>
    <w:uiPriority w:val="0"/>
    <w:pPr>
      <w:wordWrap w:val="0"/>
      <w:topLinePunct/>
      <w:spacing w:before="100" w:beforeAutospacing="1" w:after="100" w:afterAutospacing="1"/>
      <w:ind w:firstLine="803" w:firstLineChars="200"/>
    </w:pPr>
    <w:rPr>
      <w:rFonts w:ascii="宋体" w:hAnsi="宋体" w:cs="宋体"/>
      <w:szCs w:val="24"/>
    </w:rPr>
  </w:style>
  <w:style w:type="paragraph" w:styleId="22">
    <w:name w:val="List Paragraph"/>
    <w:basedOn w:val="1"/>
    <w:autoRedefine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3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2256</Words>
  <Characters>2411</Characters>
  <Lines>18</Lines>
  <Paragraphs>5</Paragraphs>
  <TotalTime>40</TotalTime>
  <ScaleCrop>false</ScaleCrop>
  <LinksUpToDate>false</LinksUpToDate>
  <CharactersWithSpaces>2451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2021-10-12T03:43:00Z</dcterms:created>
  <dc:creator>user</dc:creator>
  <cp:lastModifiedBy>WPS_1623059994</cp:lastModifiedBy>
  <cp:lastPrinted>2023-01-04T07:23:00Z</cp:lastPrinted>
  <dcterms:modified xsi:type="dcterms:W3CDTF">2024-07-08T07:52:08Z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6AE9232A54FC488EAE30A9EC63A9FA63</vt:lpwstr>
  </property>
</Properties>
</file>