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eastAsia="仿宋"/>
          <w:b/>
          <w:bCs/>
          <w:color w:val="auto"/>
          <w:sz w:val="44"/>
          <w:szCs w:val="52"/>
        </w:rPr>
      </w:pPr>
      <w:r>
        <w:rPr>
          <w:rFonts w:hint="eastAsia" w:eastAsia="仿宋"/>
          <w:b/>
          <w:bCs/>
          <w:color w:val="auto"/>
          <w:sz w:val="44"/>
          <w:szCs w:val="52"/>
        </w:rPr>
        <w:drawing>
          <wp:anchor distT="0" distB="0" distL="114300" distR="114300" simplePos="0" relativeHeight="251662336" behindDoc="0" locked="0" layoutInCell="1" allowOverlap="1">
            <wp:simplePos x="0" y="0"/>
            <wp:positionH relativeFrom="column">
              <wp:posOffset>-59055</wp:posOffset>
            </wp:positionH>
            <wp:positionV relativeFrom="paragraph">
              <wp:posOffset>-556260</wp:posOffset>
            </wp:positionV>
            <wp:extent cx="1370330" cy="563245"/>
            <wp:effectExtent l="19050" t="0" r="1270" b="0"/>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7" cstate="print"/>
                    <a:stretch>
                      <a:fillRect/>
                    </a:stretch>
                  </pic:blipFill>
                  <pic:spPr>
                    <a:xfrm>
                      <a:off x="0" y="0"/>
                      <a:ext cx="1370330" cy="563245"/>
                    </a:xfrm>
                    <a:prstGeom prst="rect">
                      <a:avLst/>
                    </a:prstGeom>
                  </pic:spPr>
                </pic:pic>
              </a:graphicData>
            </a:graphic>
          </wp:anchor>
        </w:drawing>
      </w:r>
    </w:p>
    <w:p>
      <w:pPr>
        <w:spacing w:line="360" w:lineRule="auto"/>
        <w:jc w:val="center"/>
        <w:rPr>
          <w:rFonts w:ascii="仿宋" w:hAnsi="仿宋" w:eastAsia="仿宋" w:cs="仿宋"/>
          <w:b/>
          <w:color w:val="auto"/>
          <w:sz w:val="40"/>
          <w:szCs w:val="40"/>
        </w:rPr>
      </w:pPr>
      <w:r>
        <w:rPr>
          <w:rFonts w:hint="eastAsia" w:eastAsia="仿宋"/>
          <w:b/>
          <w:bCs/>
          <w:color w:val="auto"/>
          <w:sz w:val="44"/>
          <w:szCs w:val="52"/>
        </w:rPr>
        <w:t>富顺县中医医院全院中央空调、手术室洁净空调、精密空调、净化设备、新风设备等维保服务采购项目</w:t>
      </w:r>
    </w:p>
    <w:p>
      <w:pPr>
        <w:spacing w:after="120" w:line="360" w:lineRule="auto"/>
        <w:jc w:val="center"/>
        <w:rPr>
          <w:rFonts w:ascii="仿宋" w:hAnsi="仿宋" w:eastAsia="仿宋" w:cs="仿宋"/>
          <w:b/>
          <w:color w:val="auto"/>
          <w:sz w:val="48"/>
          <w:szCs w:val="48"/>
        </w:rPr>
      </w:pPr>
      <w:r>
        <w:rPr>
          <w:rFonts w:hint="eastAsia" w:ascii="仿宋" w:hAnsi="仿宋" w:eastAsia="仿宋" w:cs="仿宋"/>
          <w:b/>
          <w:color w:val="auto"/>
          <w:sz w:val="36"/>
          <w:szCs w:val="36"/>
        </w:rPr>
        <w:t>项目编号：JRZB-2024-Q084</w:t>
      </w:r>
    </w:p>
    <w:p>
      <w:pPr>
        <w:widowControl/>
        <w:jc w:val="center"/>
        <w:rPr>
          <w:rFonts w:ascii="仿宋" w:hAnsi="仿宋" w:eastAsia="仿宋" w:cs="仿宋"/>
          <w:color w:val="auto"/>
          <w:kern w:val="0"/>
          <w:sz w:val="24"/>
        </w:rPr>
      </w:pPr>
    </w:p>
    <w:p>
      <w:pPr>
        <w:tabs>
          <w:tab w:val="left" w:pos="28"/>
          <w:tab w:val="center" w:pos="4875"/>
        </w:tabs>
        <w:jc w:val="center"/>
        <w:rPr>
          <w:rFonts w:ascii="仿宋" w:hAnsi="仿宋" w:eastAsia="仿宋" w:cs="仿宋"/>
          <w:b/>
          <w:color w:val="auto"/>
          <w:w w:val="88"/>
          <w:sz w:val="144"/>
          <w:szCs w:val="144"/>
        </w:rPr>
      </w:pPr>
    </w:p>
    <w:p>
      <w:pPr>
        <w:tabs>
          <w:tab w:val="left" w:pos="28"/>
          <w:tab w:val="center" w:pos="4875"/>
        </w:tabs>
        <w:jc w:val="center"/>
        <w:rPr>
          <w:rFonts w:ascii="仿宋" w:hAnsi="仿宋" w:eastAsia="仿宋" w:cs="仿宋"/>
          <w:b/>
          <w:color w:val="auto"/>
          <w:w w:val="128"/>
          <w:sz w:val="112"/>
          <w:szCs w:val="112"/>
        </w:rPr>
      </w:pPr>
      <w:r>
        <w:rPr>
          <w:rFonts w:hint="eastAsia" w:ascii="仿宋" w:hAnsi="仿宋" w:eastAsia="仿宋" w:cs="仿宋"/>
          <w:b/>
          <w:color w:val="auto"/>
          <w:w w:val="88"/>
          <w:sz w:val="144"/>
          <w:szCs w:val="144"/>
        </w:rPr>
        <w:t>竞争性谈判文件</w:t>
      </w:r>
    </w:p>
    <w:p>
      <w:pPr>
        <w:rPr>
          <w:rFonts w:ascii="仿宋" w:hAnsi="仿宋" w:eastAsia="仿宋" w:cs="仿宋"/>
          <w:b/>
          <w:color w:val="auto"/>
          <w:sz w:val="44"/>
          <w:szCs w:val="44"/>
        </w:rPr>
      </w:pPr>
    </w:p>
    <w:p>
      <w:pPr>
        <w:rPr>
          <w:color w:val="auto"/>
        </w:rPr>
      </w:pPr>
    </w:p>
    <w:p>
      <w:pPr>
        <w:pStyle w:val="2"/>
        <w:rPr>
          <w:rFonts w:ascii="仿宋" w:hAnsi="仿宋" w:eastAsia="仿宋" w:cs="仿宋"/>
          <w:b/>
          <w:color w:val="auto"/>
          <w:sz w:val="44"/>
          <w:szCs w:val="44"/>
        </w:rPr>
      </w:pPr>
    </w:p>
    <w:p>
      <w:pPr>
        <w:rPr>
          <w:color w:val="auto"/>
        </w:rPr>
      </w:pPr>
    </w:p>
    <w:p>
      <w:pPr>
        <w:pStyle w:val="2"/>
        <w:rPr>
          <w:color w:val="auto"/>
        </w:rPr>
      </w:pPr>
    </w:p>
    <w:p>
      <w:pPr>
        <w:spacing w:line="360" w:lineRule="auto"/>
        <w:ind w:left="2562" w:leftChars="608" w:hanging="1285" w:hangingChars="400"/>
        <w:rPr>
          <w:rFonts w:ascii="仿宋" w:hAnsi="仿宋" w:eastAsia="仿宋" w:cs="仿宋"/>
          <w:b/>
          <w:color w:val="auto"/>
          <w:sz w:val="32"/>
          <w:szCs w:val="32"/>
        </w:rPr>
      </w:pPr>
      <w:r>
        <w:rPr>
          <w:rFonts w:hint="eastAsia" w:ascii="仿宋" w:hAnsi="仿宋" w:eastAsia="仿宋" w:cs="仿宋"/>
          <w:b/>
          <w:color w:val="auto"/>
          <w:sz w:val="32"/>
          <w:szCs w:val="32"/>
        </w:rPr>
        <w:t>采</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购</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人：富顺县中医医院</w:t>
      </w:r>
    </w:p>
    <w:p>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采购代理机构：四川久润招投标代理有限公司</w:t>
      </w:r>
    </w:p>
    <w:p>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文  件 编 制：采购人与采购代理机构共同编制</w:t>
      </w:r>
    </w:p>
    <w:p>
      <w:pPr>
        <w:tabs>
          <w:tab w:val="left" w:pos="7035"/>
        </w:tabs>
        <w:spacing w:after="60" w:line="360" w:lineRule="auto"/>
        <w:jc w:val="center"/>
        <w:rPr>
          <w:rFonts w:ascii="仿宋" w:hAnsi="仿宋" w:eastAsia="仿宋" w:cs="仿宋"/>
          <w:b/>
          <w:color w:val="auto"/>
          <w:spacing w:val="16"/>
          <w:sz w:val="32"/>
          <w:szCs w:val="32"/>
        </w:rPr>
      </w:pPr>
    </w:p>
    <w:p>
      <w:pPr>
        <w:tabs>
          <w:tab w:val="left" w:pos="7035"/>
        </w:tabs>
        <w:spacing w:after="60" w:line="360" w:lineRule="auto"/>
        <w:jc w:val="center"/>
        <w:rPr>
          <w:rFonts w:ascii="仿宋" w:hAnsi="仿宋" w:eastAsia="仿宋" w:cs="仿宋"/>
          <w:b/>
          <w:color w:val="auto"/>
          <w:spacing w:val="16"/>
          <w:sz w:val="32"/>
          <w:szCs w:val="32"/>
        </w:rPr>
      </w:pPr>
      <w:r>
        <w:rPr>
          <w:rFonts w:hint="eastAsia" w:ascii="仿宋" w:hAnsi="仿宋" w:eastAsia="仿宋" w:cs="仿宋"/>
          <w:b/>
          <w:color w:val="auto"/>
          <w:spacing w:val="16"/>
          <w:sz w:val="32"/>
          <w:szCs w:val="32"/>
        </w:rPr>
        <w:t>四川·自贡</w:t>
      </w:r>
    </w:p>
    <w:p>
      <w:pPr>
        <w:tabs>
          <w:tab w:val="left" w:pos="7035"/>
        </w:tabs>
        <w:spacing w:after="60" w:line="360" w:lineRule="auto"/>
        <w:jc w:val="center"/>
        <w:rPr>
          <w:rFonts w:ascii="仿宋" w:hAnsi="仿宋" w:eastAsia="仿宋" w:cs="仿宋"/>
          <w:b/>
          <w:color w:val="auto"/>
          <w:spacing w:val="16"/>
          <w:sz w:val="44"/>
          <w:szCs w:val="44"/>
        </w:rPr>
        <w:sectPr>
          <w:headerReference r:id="rId5" w:type="first"/>
          <w:footerReference r:id="rId8" w:type="first"/>
          <w:headerReference r:id="rId3" w:type="default"/>
          <w:footerReference r:id="rId6" w:type="default"/>
          <w:headerReference r:id="rId4" w:type="even"/>
          <w:footerReference r:id="rId7" w:type="even"/>
          <w:pgSz w:w="11907" w:h="16840"/>
          <w:pgMar w:top="1440" w:right="1173" w:bottom="1440" w:left="1074" w:header="851" w:footer="992" w:gutter="0"/>
          <w:pgNumType w:fmt="numberInDash" w:start="1"/>
          <w:cols w:space="720" w:num="1"/>
          <w:titlePg/>
          <w:docGrid w:linePitch="312" w:charSpace="0"/>
        </w:sectPr>
      </w:pPr>
      <w:r>
        <w:rPr>
          <w:rFonts w:hint="eastAsia" w:ascii="仿宋" w:hAnsi="仿宋" w:eastAsia="仿宋" w:cs="仿宋"/>
          <w:b/>
          <w:color w:val="auto"/>
          <w:sz w:val="32"/>
          <w:szCs w:val="32"/>
        </w:rPr>
        <w:t>二〇二四年六月</w:t>
      </w:r>
    </w:p>
    <w:p>
      <w:pPr>
        <w:tabs>
          <w:tab w:val="left" w:leader="dot" w:pos="7980"/>
        </w:tabs>
        <w:spacing w:line="600" w:lineRule="auto"/>
        <w:jc w:val="left"/>
        <w:rPr>
          <w:color w:val="auto"/>
        </w:rPr>
      </w:pPr>
      <w:bookmarkStart w:id="0" w:name="_Toc22311"/>
      <w:bookmarkStart w:id="1" w:name="_Toc31928"/>
      <w:bookmarkStart w:id="2" w:name="_Toc17411"/>
      <w:bookmarkStart w:id="3" w:name="_Toc15228"/>
    </w:p>
    <w:sdt>
      <w:sdtPr>
        <w:rPr>
          <w:rFonts w:hint="eastAsia" w:ascii="仿宋" w:hAnsi="仿宋" w:eastAsia="仿宋" w:cs="仿宋"/>
          <w:b/>
          <w:color w:val="auto"/>
          <w:spacing w:val="16"/>
          <w:sz w:val="44"/>
          <w:szCs w:val="44"/>
        </w:rPr>
        <w:id w:val="147457502"/>
        <w:docPartObj>
          <w:docPartGallery w:val="Table of Contents"/>
          <w:docPartUnique/>
        </w:docPartObj>
      </w:sdtPr>
      <w:sdtEndPr>
        <w:rPr>
          <w:rFonts w:hint="eastAsia" w:ascii="仿宋" w:hAnsi="仿宋" w:eastAsia="仿宋" w:cs="仿宋"/>
          <w:b/>
          <w:color w:val="auto"/>
          <w:spacing w:val="16"/>
          <w:sz w:val="28"/>
          <w:szCs w:val="28"/>
        </w:rPr>
      </w:sdtEndPr>
      <w:sdtContent>
        <w:p>
          <w:pPr>
            <w:tabs>
              <w:tab w:val="left" w:pos="7035"/>
            </w:tabs>
            <w:jc w:val="center"/>
            <w:rPr>
              <w:rFonts w:ascii="仿宋" w:hAnsi="仿宋" w:eastAsia="仿宋" w:cs="仿宋"/>
              <w:b/>
              <w:color w:val="auto"/>
              <w:spacing w:val="16"/>
              <w:sz w:val="44"/>
              <w:szCs w:val="44"/>
            </w:rPr>
          </w:pPr>
          <w:r>
            <w:rPr>
              <w:rFonts w:hint="eastAsia" w:ascii="仿宋" w:hAnsi="仿宋" w:eastAsia="仿宋" w:cs="仿宋"/>
              <w:b/>
              <w:color w:val="auto"/>
              <w:spacing w:val="16"/>
              <w:sz w:val="44"/>
              <w:szCs w:val="44"/>
            </w:rPr>
            <w:t>目录</w:t>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_Toc9930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pacing w:val="-2"/>
              <w:sz w:val="28"/>
              <w:szCs w:val="28"/>
            </w:rPr>
            <w:t>第一章谈判邀请</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_Toc9930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_Toc2195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pacing w:val="-2"/>
              <w:sz w:val="28"/>
              <w:szCs w:val="28"/>
            </w:rPr>
            <w:t>第二章供应商谈判须知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_Toc2195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_Toc11322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z w:val="28"/>
              <w:szCs w:val="28"/>
            </w:rPr>
            <w:t>第三章供应商的资格条件要求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_Toc11322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21</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_Toc22893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z w:val="28"/>
              <w:szCs w:val="28"/>
            </w:rPr>
            <w:t>第四章 供应商应当提供的资格证明材料</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_Toc22893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22</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_Toc28624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z w:val="28"/>
              <w:szCs w:val="28"/>
            </w:rPr>
            <w:t>第五章 采购项目内容及商务要求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_Toc28624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_Toc24419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z w:val="28"/>
              <w:szCs w:val="28"/>
            </w:rPr>
            <w:t>第六章 谈判内容、谈判过程中可能实质性变动的内容</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_Toc24419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56</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_Toc4706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z w:val="28"/>
              <w:szCs w:val="28"/>
            </w:rPr>
            <w:t>第七章响应文件主要格式要求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_Toc4706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57</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_Toc26224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第八章 评审办法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_Toc26224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94</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_Toc3219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第九章 采购合同（样例）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_Toc3219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102</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pStyle w:val="23"/>
            <w:tabs>
              <w:tab w:val="right" w:leader="dot" w:pos="8955"/>
            </w:tabs>
            <w:spacing w:line="480" w:lineRule="auto"/>
            <w:rPr>
              <w:rFonts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_Toc14066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第十章 附件</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_Toc14066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106</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pPr>
            <w:spacing w:line="480" w:lineRule="auto"/>
            <w:jc w:val="left"/>
            <w:rPr>
              <w:rFonts w:hint="eastAsia" w:ascii="仿宋" w:hAnsi="仿宋" w:eastAsia="仿宋" w:cs="仿宋"/>
              <w:b/>
              <w:color w:val="auto"/>
              <w:spacing w:val="16"/>
              <w:sz w:val="28"/>
              <w:szCs w:val="28"/>
            </w:rPr>
          </w:pPr>
          <w:r>
            <w:rPr>
              <w:rFonts w:ascii="仿宋" w:hAnsi="仿宋" w:eastAsia="仿宋" w:cs="仿宋"/>
              <w:bCs/>
              <w:color w:val="auto"/>
              <w:spacing w:val="-2"/>
              <w:sz w:val="28"/>
              <w:szCs w:val="28"/>
            </w:rPr>
            <w:fldChar w:fldCharType="end"/>
          </w:r>
        </w:p>
      </w:sdtContent>
    </w:sdt>
    <w:p>
      <w:pPr>
        <w:rPr>
          <w:rFonts w:ascii="Times New Roman" w:hAnsi="Times New Roman" w:eastAsia="宋体" w:cs="Times New Roman"/>
          <w:kern w:val="2"/>
          <w:sz w:val="21"/>
          <w:szCs w:val="24"/>
          <w:lang w:val="en-US" w:eastAsia="zh-CN" w:bidi="ar-SA"/>
        </w:rPr>
      </w:pPr>
    </w:p>
    <w:p>
      <w:pPr>
        <w:rPr>
          <w:lang w:val="en-US" w:eastAsia="zh-CN"/>
        </w:rPr>
      </w:pPr>
    </w:p>
    <w:p>
      <w:pPr>
        <w:rPr>
          <w:lang w:val="en-US" w:eastAsia="zh-CN"/>
        </w:rPr>
      </w:pPr>
    </w:p>
    <w:p>
      <w:pPr>
        <w:rPr>
          <w:lang w:val="en-US" w:eastAsia="zh-CN"/>
        </w:rPr>
      </w:pPr>
    </w:p>
    <w:p>
      <w:pPr>
        <w:tabs>
          <w:tab w:val="left" w:pos="6500"/>
        </w:tabs>
        <w:jc w:val="left"/>
        <w:rPr>
          <w:lang w:val="en-US" w:eastAsia="zh-CN"/>
        </w:rPr>
        <w:sectPr>
          <w:footerReference r:id="rId10" w:type="first"/>
          <w:footerReference r:id="rId9" w:type="default"/>
          <w:pgSz w:w="11850" w:h="16783"/>
          <w:pgMar w:top="1440" w:right="1395" w:bottom="1440" w:left="1500" w:header="851" w:footer="992" w:gutter="0"/>
          <w:pgNumType w:fmt="upperRoman" w:start="1"/>
          <w:cols w:space="720" w:num="1"/>
          <w:docGrid w:linePitch="312" w:charSpace="0"/>
        </w:sectPr>
      </w:pPr>
      <w:r>
        <w:rPr>
          <w:rFonts w:hint="eastAsia"/>
          <w:lang w:val="en-US" w:eastAsia="zh-CN"/>
        </w:rPr>
        <w:tab/>
      </w:r>
    </w:p>
    <w:p>
      <w:pPr>
        <w:spacing w:beforeLines="50" w:afterLines="100"/>
        <w:jc w:val="center"/>
        <w:outlineLvl w:val="0"/>
        <w:rPr>
          <w:rFonts w:ascii="仿宋" w:hAnsi="仿宋" w:eastAsia="仿宋" w:cs="仿宋"/>
          <w:b/>
          <w:bCs/>
          <w:color w:val="auto"/>
          <w:spacing w:val="-2"/>
          <w:sz w:val="36"/>
          <w:szCs w:val="36"/>
        </w:rPr>
      </w:pPr>
      <w:bookmarkStart w:id="4" w:name="_Toc9930"/>
      <w:bookmarkStart w:id="5" w:name="_Toc12615"/>
      <w:r>
        <w:rPr>
          <w:rFonts w:hint="eastAsia" w:ascii="仿宋" w:hAnsi="仿宋" w:eastAsia="仿宋" w:cs="仿宋"/>
          <w:b/>
          <w:bCs/>
          <w:color w:val="auto"/>
          <w:spacing w:val="-2"/>
          <w:sz w:val="36"/>
          <w:szCs w:val="36"/>
        </w:rPr>
        <w:t>第一章</w:t>
      </w:r>
      <w:bookmarkStart w:id="6" w:name="_Toc203812309"/>
      <w:bookmarkStart w:id="7" w:name="_Toc200874607"/>
      <w:bookmarkStart w:id="8" w:name="_Toc226699473"/>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p>
    <w:bookmarkEnd w:id="6"/>
    <w:bookmarkEnd w:id="7"/>
    <w:bookmarkEnd w:id="8"/>
    <w:p>
      <w:pPr>
        <w:pStyle w:val="117"/>
        <w:spacing w:line="360" w:lineRule="auto"/>
        <w:ind w:firstLine="493" w:firstLineChars="209"/>
        <w:rPr>
          <w:rFonts w:ascii="仿宋" w:hAnsi="仿宋" w:eastAsia="仿宋" w:cs="仿宋"/>
          <w:bCs/>
          <w:color w:val="auto"/>
          <w:spacing w:val="-2"/>
          <w:sz w:val="24"/>
        </w:rPr>
      </w:pPr>
      <w:bookmarkStart w:id="9" w:name="OLE_LINK8"/>
      <w:bookmarkStart w:id="10" w:name="OLE_LINK23"/>
      <w:bookmarkStart w:id="11" w:name="OLE_LINK16"/>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rPr>
        <w:t>富顺县中医医院全院中央空调、手术室洁净空调、精密空调、净化设备、新风设备等维保服务采购项目</w:t>
      </w:r>
      <w:r>
        <w:rPr>
          <w:rFonts w:hint="eastAsia" w:ascii="仿宋" w:hAnsi="仿宋" w:eastAsia="仿宋" w:cs="仿宋"/>
          <w:color w:val="auto"/>
          <w:spacing w:val="-2"/>
          <w:sz w:val="24"/>
        </w:rPr>
        <w:t>进行竞争性谈判</w:t>
      </w:r>
      <w:r>
        <w:rPr>
          <w:rFonts w:hint="eastAsia" w:ascii="仿宋" w:hAnsi="仿宋" w:eastAsia="仿宋" w:cs="仿宋"/>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pPr>
        <w:pStyle w:val="2"/>
        <w:spacing w:line="360" w:lineRule="auto"/>
        <w:rPr>
          <w:color w:val="auto"/>
          <w:sz w:val="24"/>
        </w:rPr>
      </w:pPr>
    </w:p>
    <w:p>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pPr>
        <w:spacing w:line="360" w:lineRule="auto"/>
        <w:ind w:left="2204" w:leftChars="228" w:hanging="1725" w:hangingChars="731"/>
        <w:rPr>
          <w:rFonts w:ascii="仿宋" w:hAnsi="仿宋" w:eastAsia="仿宋" w:cs="仿宋"/>
          <w:bCs/>
          <w:color w:val="auto"/>
          <w:spacing w:val="-2"/>
          <w:sz w:val="24"/>
        </w:rPr>
      </w:pPr>
      <w:r>
        <w:rPr>
          <w:rFonts w:hint="eastAsia" w:ascii="仿宋" w:hAnsi="仿宋" w:eastAsia="仿宋" w:cs="仿宋"/>
          <w:bCs/>
          <w:color w:val="auto"/>
          <w:spacing w:val="-2"/>
          <w:sz w:val="24"/>
        </w:rPr>
        <w:t>1.1 项目名称：富顺县中医医院全院中央空调、手术室洁净空调、精密空调、净化设备、新风设备等维保服务采购项目</w:t>
      </w:r>
    </w:p>
    <w:p>
      <w:pPr>
        <w:spacing w:line="360" w:lineRule="auto"/>
        <w:ind w:left="479" w:leftChars="228"/>
        <w:rPr>
          <w:rFonts w:ascii="仿宋" w:hAnsi="仿宋" w:eastAsia="仿宋" w:cs="仿宋"/>
          <w:bCs/>
          <w:color w:val="auto"/>
          <w:spacing w:val="-2"/>
          <w:sz w:val="24"/>
        </w:rPr>
      </w:pPr>
      <w:r>
        <w:rPr>
          <w:rFonts w:hint="eastAsia" w:ascii="仿宋" w:hAnsi="仿宋" w:eastAsia="仿宋" w:cs="仿宋"/>
          <w:bCs/>
          <w:color w:val="auto"/>
          <w:spacing w:val="-2"/>
          <w:sz w:val="24"/>
        </w:rPr>
        <w:t>1.2 项目编号：JRZB-2024-Q084</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1.3 资金来源：自筹资金</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1.4 预算金额：285000.00元</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1.5 采购属性：服务类</w:t>
      </w:r>
    </w:p>
    <w:p>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1.6 项目内容：详细内容见第五章</w:t>
      </w:r>
    </w:p>
    <w:p>
      <w:pPr>
        <w:pStyle w:val="2"/>
        <w:spacing w:line="360" w:lineRule="auto"/>
        <w:rPr>
          <w:color w:val="auto"/>
          <w:sz w:val="24"/>
        </w:rPr>
      </w:pPr>
    </w:p>
    <w:p>
      <w:pPr>
        <w:spacing w:line="360" w:lineRule="auto"/>
        <w:ind w:firstLine="474" w:firstLineChars="200"/>
        <w:outlineLvl w:val="1"/>
        <w:rPr>
          <w:color w:val="auto"/>
          <w:sz w:val="24"/>
        </w:rPr>
      </w:pPr>
      <w:r>
        <w:rPr>
          <w:rFonts w:hint="eastAsia" w:ascii="仿宋" w:hAnsi="仿宋" w:eastAsia="仿宋"/>
          <w:b/>
          <w:color w:val="auto"/>
          <w:spacing w:val="-2"/>
          <w:sz w:val="24"/>
        </w:rPr>
        <w:t>二、供应商参加本次政府采购活动应具备的条件、</w:t>
      </w:r>
      <w:r>
        <w:rPr>
          <w:rFonts w:hint="eastAsia" w:ascii="仿宋" w:hAnsi="仿宋" w:eastAsia="仿宋"/>
          <w:b/>
          <w:color w:val="auto"/>
          <w:sz w:val="24"/>
        </w:rPr>
        <w:t>邀请方式</w:t>
      </w:r>
    </w:p>
    <w:p>
      <w:pPr>
        <w:spacing w:line="360" w:lineRule="auto"/>
        <w:ind w:firstLine="473"/>
        <w:rPr>
          <w:rFonts w:ascii="仿宋" w:hAnsi="仿宋" w:eastAsia="仿宋" w:cs="仿宋"/>
          <w:bCs/>
          <w:color w:val="auto"/>
          <w:sz w:val="24"/>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详细要求见谈判文件第三章。</w:t>
      </w:r>
    </w:p>
    <w:p>
      <w:pPr>
        <w:wordWrap w:val="0"/>
        <w:spacing w:line="360" w:lineRule="auto"/>
        <w:ind w:left="951" w:leftChars="228" w:hanging="472" w:hangingChars="200"/>
        <w:rPr>
          <w:rFonts w:ascii="仿宋" w:hAnsi="仿宋" w:eastAsia="仿宋" w:cs="仿宋"/>
          <w:bCs/>
          <w:color w:val="auto"/>
          <w:spacing w:val="2"/>
          <w:sz w:val="24"/>
        </w:rPr>
      </w:pPr>
      <w:r>
        <w:rPr>
          <w:rFonts w:hint="eastAsia" w:ascii="仿宋" w:hAnsi="仿宋" w:eastAsia="仿宋"/>
          <w:color w:val="auto"/>
          <w:spacing w:val="-2"/>
          <w:sz w:val="24"/>
        </w:rPr>
        <w:t>2.2 供应商邀请方式：本次竞争性谈判邀请在四川招投标网（www.scbid.com）</w:t>
      </w:r>
      <w:r>
        <w:rPr>
          <w:rFonts w:hint="eastAsia" w:ascii="仿宋" w:hAnsi="仿宋" w:eastAsia="仿宋"/>
          <w:color w:val="auto"/>
          <w:spacing w:val="-2"/>
          <w:sz w:val="24"/>
          <w:lang w:val="zh-CN"/>
        </w:rPr>
        <w:t>上以公告形式发布</w:t>
      </w:r>
      <w:r>
        <w:rPr>
          <w:rFonts w:hint="eastAsia" w:ascii="仿宋" w:hAnsi="仿宋" w:eastAsia="仿宋" w:cs="仿宋"/>
          <w:bCs/>
          <w:color w:val="auto"/>
          <w:spacing w:val="2"/>
          <w:sz w:val="24"/>
          <w:lang w:val="zh-CN"/>
        </w:rPr>
        <w:t>。</w:t>
      </w:r>
    </w:p>
    <w:p>
      <w:pPr>
        <w:pStyle w:val="2"/>
        <w:spacing w:line="360" w:lineRule="auto"/>
        <w:rPr>
          <w:color w:val="auto"/>
          <w:sz w:val="24"/>
        </w:rPr>
      </w:pPr>
    </w:p>
    <w:p>
      <w:pPr>
        <w:pStyle w:val="87"/>
        <w:ind w:firstLine="480" w:firstLineChars="0"/>
        <w:outlineLvl w:val="1"/>
        <w:rPr>
          <w:rFonts w:ascii="仿宋" w:hAnsi="仿宋" w:eastAsia="仿宋"/>
          <w:color w:val="auto"/>
          <w:sz w:val="24"/>
          <w:szCs w:val="24"/>
        </w:rPr>
      </w:pPr>
      <w:r>
        <w:rPr>
          <w:rFonts w:hint="eastAsia" w:ascii="仿宋" w:hAnsi="仿宋" w:eastAsia="仿宋"/>
          <w:b/>
          <w:color w:val="auto"/>
          <w:sz w:val="24"/>
          <w:szCs w:val="24"/>
        </w:rPr>
        <w:t>三、获取采购文件的时间、地点、方式、售价及须提供的资料</w:t>
      </w:r>
    </w:p>
    <w:p>
      <w:pPr>
        <w:pStyle w:val="87"/>
        <w:ind w:left="959" w:leftChars="228" w:hanging="480" w:hangingChars="200"/>
        <w:rPr>
          <w:rFonts w:ascii="仿宋" w:hAnsi="仿宋" w:eastAsia="仿宋"/>
          <w:color w:val="auto"/>
          <w:sz w:val="24"/>
          <w:szCs w:val="24"/>
        </w:rPr>
      </w:pPr>
      <w:r>
        <w:rPr>
          <w:rFonts w:hint="eastAsia" w:ascii="仿宋" w:hAnsi="仿宋" w:eastAsia="仿宋"/>
          <w:color w:val="auto"/>
          <w:sz w:val="24"/>
          <w:szCs w:val="24"/>
        </w:rPr>
        <w:t>3.1 获取采购文件的时间：2024年6月</w:t>
      </w:r>
      <w:r>
        <w:rPr>
          <w:rFonts w:hint="eastAsia" w:ascii="仿宋" w:hAnsi="仿宋" w:eastAsia="仿宋"/>
          <w:color w:val="auto"/>
          <w:sz w:val="24"/>
          <w:szCs w:val="24"/>
          <w:lang w:val="en-US" w:eastAsia="zh-CN"/>
        </w:rPr>
        <w:t>13</w:t>
      </w:r>
      <w:r>
        <w:rPr>
          <w:rFonts w:hint="eastAsia" w:ascii="仿宋" w:hAnsi="仿宋" w:eastAsia="仿宋"/>
          <w:color w:val="auto"/>
          <w:sz w:val="24"/>
          <w:szCs w:val="24"/>
        </w:rPr>
        <w:t>日至2024年6月</w:t>
      </w:r>
      <w:r>
        <w:rPr>
          <w:rFonts w:hint="eastAsia" w:ascii="仿宋" w:hAnsi="仿宋" w:eastAsia="仿宋"/>
          <w:color w:val="auto"/>
          <w:sz w:val="24"/>
          <w:szCs w:val="24"/>
          <w:lang w:val="en-US" w:eastAsia="zh-CN"/>
        </w:rPr>
        <w:t>17</w:t>
      </w:r>
      <w:r>
        <w:rPr>
          <w:rFonts w:hint="eastAsia" w:ascii="仿宋" w:hAnsi="仿宋" w:eastAsia="仿宋"/>
          <w:color w:val="auto"/>
          <w:sz w:val="24"/>
          <w:szCs w:val="24"/>
        </w:rPr>
        <w:t>日上午09:00-12:00，下午14:00-17:00(北京时间，法定节假</w:t>
      </w:r>
      <w:r>
        <w:rPr>
          <w:rFonts w:hint="eastAsia" w:ascii="仿宋" w:hAnsi="仿宋" w:eastAsia="仿宋"/>
          <w:color w:val="auto"/>
          <w:spacing w:val="-2"/>
          <w:sz w:val="24"/>
          <w:szCs w:val="24"/>
        </w:rPr>
        <w:t>日除外)。</w:t>
      </w:r>
    </w:p>
    <w:p>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rPr>
        <w:t>3.2 获取采购文件的地点：自贡市自流井区汇东丹桂大街蓝鹰海岸综合楼二楼四川久润</w:t>
      </w:r>
      <w:r>
        <w:rPr>
          <w:rFonts w:hint="eastAsia" w:ascii="仿宋" w:hAnsi="仿宋" w:eastAsia="仿宋"/>
          <w:color w:val="auto"/>
          <w:kern w:val="0"/>
          <w:sz w:val="24"/>
        </w:rPr>
        <w:t>招投标代理有限公司获取。</w:t>
      </w:r>
    </w:p>
    <w:p>
      <w:pPr>
        <w:spacing w:line="360" w:lineRule="auto"/>
        <w:ind w:firstLine="480" w:firstLineChars="200"/>
        <w:rPr>
          <w:rFonts w:ascii="仿宋" w:hAnsi="仿宋" w:eastAsia="仿宋"/>
          <w:color w:val="auto"/>
          <w:sz w:val="24"/>
        </w:rPr>
      </w:pPr>
      <w:r>
        <w:rPr>
          <w:rFonts w:hint="eastAsia" w:ascii="仿宋" w:hAnsi="仿宋" w:eastAsia="仿宋"/>
          <w:color w:val="auto"/>
          <w:sz w:val="24"/>
        </w:rPr>
        <w:t>3.3 获取采购文件的方式：</w:t>
      </w:r>
    </w:p>
    <w:p>
      <w:pPr>
        <w:spacing w:line="360" w:lineRule="auto"/>
        <w:ind w:firstLine="840" w:firstLineChars="350"/>
        <w:rPr>
          <w:rFonts w:ascii="仿宋" w:hAnsi="仿宋" w:eastAsia="仿宋"/>
          <w:color w:val="auto"/>
          <w:sz w:val="24"/>
        </w:rPr>
      </w:pPr>
      <w:r>
        <w:rPr>
          <w:rFonts w:hint="eastAsia" w:ascii="仿宋" w:hAnsi="仿宋" w:eastAsia="仿宋"/>
          <w:color w:val="auto"/>
          <w:sz w:val="24"/>
        </w:rPr>
        <w:t>（1）代理机构现场办理；</w:t>
      </w:r>
    </w:p>
    <w:p>
      <w:pPr>
        <w:spacing w:line="360" w:lineRule="auto"/>
        <w:ind w:left="957" w:leftChars="400" w:hanging="117" w:hangingChars="49"/>
        <w:rPr>
          <w:rFonts w:ascii="仿宋" w:hAnsi="仿宋" w:eastAsia="仿宋"/>
          <w:color w:val="auto"/>
          <w:sz w:val="24"/>
        </w:rPr>
      </w:pPr>
      <w:r>
        <w:rPr>
          <w:rStyle w:val="34"/>
          <w:rFonts w:hint="eastAsia" w:ascii="仿宋" w:hAnsi="仿宋" w:eastAsia="仿宋"/>
          <w:color w:val="auto"/>
          <w:sz w:val="24"/>
          <w:szCs w:val="24"/>
        </w:rPr>
        <w:t>（2）若需邮购，请将报名资料传至jrzb8222@126.com。</w:t>
      </w:r>
    </w:p>
    <w:p>
      <w:pPr>
        <w:spacing w:line="360" w:lineRule="auto"/>
        <w:ind w:firstLine="960" w:firstLineChars="400"/>
        <w:rPr>
          <w:rFonts w:ascii="仿宋" w:hAnsi="仿宋" w:eastAsia="仿宋"/>
          <w:color w:val="auto"/>
          <w:sz w:val="24"/>
        </w:rPr>
      </w:pPr>
      <w:r>
        <w:rPr>
          <w:rFonts w:hint="eastAsia" w:ascii="仿宋" w:hAnsi="仿宋" w:eastAsia="仿宋"/>
          <w:color w:val="auto"/>
          <w:sz w:val="24"/>
        </w:rPr>
        <w:t>注：采购文件售后不退，谈判资格不能转让。</w:t>
      </w:r>
    </w:p>
    <w:p>
      <w:pPr>
        <w:pStyle w:val="87"/>
        <w:ind w:firstLine="480" w:firstLineChars="0"/>
        <w:rPr>
          <w:rFonts w:ascii="仿宋" w:hAnsi="仿宋" w:eastAsia="仿宋"/>
          <w:color w:val="auto"/>
          <w:sz w:val="24"/>
          <w:szCs w:val="24"/>
        </w:rPr>
      </w:pPr>
      <w:r>
        <w:rPr>
          <w:rFonts w:hint="eastAsia" w:ascii="仿宋" w:hAnsi="仿宋" w:eastAsia="仿宋"/>
          <w:color w:val="auto"/>
          <w:sz w:val="24"/>
          <w:szCs w:val="24"/>
        </w:rPr>
        <w:t>3.4 获取采购文件的售价：0.00元/份。</w:t>
      </w:r>
    </w:p>
    <w:p>
      <w:pPr>
        <w:spacing w:line="360" w:lineRule="auto"/>
        <w:ind w:firstLine="480" w:firstLineChars="200"/>
        <w:rPr>
          <w:rFonts w:ascii="仿宋" w:hAnsi="仿宋" w:eastAsia="仿宋"/>
          <w:color w:val="auto"/>
          <w:sz w:val="24"/>
        </w:rPr>
      </w:pPr>
      <w:r>
        <w:rPr>
          <w:rFonts w:hint="eastAsia" w:ascii="仿宋" w:hAnsi="仿宋" w:eastAsia="仿宋"/>
          <w:color w:val="auto"/>
          <w:sz w:val="24"/>
        </w:rPr>
        <w:t>3.5 获取采购文件时，须提供以下资料</w:t>
      </w:r>
      <w:r>
        <w:rPr>
          <w:rFonts w:hint="eastAsia" w:ascii="仿宋" w:hAnsi="仿宋" w:eastAsia="仿宋"/>
          <w:b/>
          <w:color w:val="auto"/>
          <w:sz w:val="24"/>
        </w:rPr>
        <w:t>：</w:t>
      </w:r>
    </w:p>
    <w:p>
      <w:pPr>
        <w:pStyle w:val="2"/>
        <w:spacing w:line="360" w:lineRule="auto"/>
        <w:ind w:left="448" w:firstLine="480" w:firstLineChars="200"/>
        <w:rPr>
          <w:rFonts w:ascii="仿宋" w:hAnsi="仿宋" w:eastAsia="仿宋"/>
          <w:color w:val="auto"/>
          <w:sz w:val="24"/>
        </w:rPr>
      </w:pPr>
      <w:r>
        <w:rPr>
          <w:rFonts w:hint="eastAsia" w:ascii="仿宋" w:hAnsi="仿宋" w:eastAsia="仿宋"/>
          <w:color w:val="auto"/>
          <w:sz w:val="24"/>
        </w:rPr>
        <w:t>（1）单位介绍信加盖公章；</w:t>
      </w:r>
    </w:p>
    <w:p>
      <w:pPr>
        <w:pStyle w:val="2"/>
        <w:spacing w:line="360" w:lineRule="auto"/>
        <w:ind w:left="448" w:firstLine="480" w:firstLineChars="200"/>
        <w:rPr>
          <w:rFonts w:ascii="仿宋" w:hAnsi="仿宋" w:eastAsia="仿宋"/>
          <w:color w:val="auto"/>
          <w:sz w:val="24"/>
        </w:rPr>
      </w:pPr>
      <w:r>
        <w:rPr>
          <w:rFonts w:hint="eastAsia" w:ascii="仿宋" w:hAnsi="仿宋" w:eastAsia="仿宋"/>
          <w:color w:val="auto"/>
          <w:sz w:val="24"/>
        </w:rPr>
        <w:t>（2）经办人身份证影印件加盖公章；</w:t>
      </w:r>
    </w:p>
    <w:p>
      <w:pPr>
        <w:pStyle w:val="87"/>
        <w:ind w:firstLine="960" w:firstLineChars="400"/>
        <w:rPr>
          <w:rFonts w:ascii="仿宋" w:hAnsi="仿宋" w:eastAsia="仿宋"/>
          <w:color w:val="auto"/>
          <w:sz w:val="24"/>
          <w:szCs w:val="24"/>
        </w:rPr>
      </w:pPr>
      <w:r>
        <w:rPr>
          <w:rFonts w:hint="eastAsia" w:ascii="仿宋" w:hAnsi="仿宋" w:eastAsia="仿宋"/>
          <w:color w:val="auto"/>
          <w:sz w:val="24"/>
          <w:szCs w:val="24"/>
        </w:rPr>
        <w:t>（3）供应商报名登记表加盖公章。</w:t>
      </w:r>
    </w:p>
    <w:p>
      <w:pPr>
        <w:pStyle w:val="2"/>
        <w:spacing w:line="360" w:lineRule="auto"/>
        <w:rPr>
          <w:color w:val="auto"/>
          <w:sz w:val="24"/>
        </w:rPr>
      </w:pPr>
    </w:p>
    <w:p>
      <w:pPr>
        <w:pStyle w:val="87"/>
        <w:ind w:firstLine="480" w:firstLineChars="0"/>
        <w:outlineLvl w:val="1"/>
        <w:rPr>
          <w:rFonts w:ascii="仿宋" w:hAnsi="仿宋" w:eastAsia="仿宋"/>
          <w:b/>
          <w:color w:val="auto"/>
          <w:sz w:val="24"/>
          <w:szCs w:val="24"/>
        </w:rPr>
      </w:pPr>
      <w:r>
        <w:rPr>
          <w:rFonts w:hint="eastAsia" w:ascii="仿宋" w:hAnsi="仿宋" w:eastAsia="仿宋"/>
          <w:b/>
          <w:color w:val="auto"/>
          <w:sz w:val="24"/>
          <w:szCs w:val="24"/>
        </w:rPr>
        <w:t>四、响应文件的递交时间、地点和接收</w:t>
      </w:r>
    </w:p>
    <w:p>
      <w:pPr>
        <w:pStyle w:val="87"/>
        <w:ind w:firstLine="480" w:firstLineChars="0"/>
        <w:rPr>
          <w:rFonts w:ascii="仿宋" w:hAnsi="仿宋" w:eastAsia="仿宋"/>
          <w:color w:val="auto"/>
          <w:sz w:val="24"/>
          <w:szCs w:val="24"/>
        </w:rPr>
      </w:pPr>
      <w:r>
        <w:rPr>
          <w:rFonts w:hint="eastAsia" w:ascii="仿宋" w:hAnsi="仿宋" w:eastAsia="仿宋"/>
          <w:color w:val="auto"/>
          <w:sz w:val="24"/>
          <w:szCs w:val="24"/>
        </w:rPr>
        <w:t>4.1 响应文件的递交时间：</w:t>
      </w:r>
      <w:r>
        <w:rPr>
          <w:rFonts w:hint="eastAsia" w:ascii="仿宋" w:hAnsi="仿宋" w:eastAsia="仿宋"/>
          <w:b/>
          <w:color w:val="auto"/>
          <w:sz w:val="24"/>
        </w:rPr>
        <w:t>2024年6月</w:t>
      </w:r>
      <w:r>
        <w:rPr>
          <w:rFonts w:hint="eastAsia" w:ascii="仿宋" w:hAnsi="仿宋" w:eastAsia="仿宋"/>
          <w:b/>
          <w:color w:val="auto"/>
          <w:sz w:val="24"/>
          <w:lang w:val="en-US" w:eastAsia="zh-CN"/>
        </w:rPr>
        <w:t>19</w:t>
      </w:r>
      <w:r>
        <w:rPr>
          <w:rFonts w:hint="eastAsia" w:ascii="仿宋" w:hAnsi="仿宋" w:eastAsia="仿宋"/>
          <w:b/>
          <w:color w:val="auto"/>
          <w:sz w:val="24"/>
        </w:rPr>
        <w:t>日09:30-10:00（北京时间）。</w:t>
      </w:r>
    </w:p>
    <w:p>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rPr>
        <w:t>4.2 响应文件的递交地点：自贡市自流井区汇东丹桂大街蓝鹰海岸综合楼二楼四川久润招投标代理有限公司开标3厅。</w:t>
      </w:r>
    </w:p>
    <w:p>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pPr>
        <w:pStyle w:val="2"/>
        <w:spacing w:line="360" w:lineRule="auto"/>
        <w:rPr>
          <w:color w:val="auto"/>
          <w:sz w:val="24"/>
        </w:rPr>
      </w:pPr>
    </w:p>
    <w:p>
      <w:pPr>
        <w:spacing w:line="360" w:lineRule="auto"/>
        <w:ind w:firstLine="482" w:firstLineChars="200"/>
        <w:outlineLvl w:val="1"/>
        <w:rPr>
          <w:rFonts w:ascii="仿宋" w:hAnsi="仿宋" w:eastAsia="仿宋"/>
          <w:b/>
          <w:color w:val="auto"/>
          <w:sz w:val="24"/>
        </w:rPr>
      </w:pPr>
      <w:r>
        <w:rPr>
          <w:rFonts w:hint="eastAsia" w:ascii="仿宋" w:hAnsi="仿宋" w:eastAsia="仿宋"/>
          <w:b/>
          <w:color w:val="auto"/>
          <w:sz w:val="24"/>
        </w:rPr>
        <w:t>五、</w:t>
      </w:r>
      <w:r>
        <w:rPr>
          <w:rFonts w:hint="eastAsia" w:ascii="仿宋" w:hAnsi="仿宋" w:eastAsia="仿宋"/>
          <w:b/>
          <w:color w:val="auto"/>
          <w:sz w:val="24"/>
          <w:lang w:val="zh-CN"/>
        </w:rPr>
        <w:t>递交响应</w:t>
      </w:r>
      <w:r>
        <w:rPr>
          <w:rFonts w:hint="eastAsia" w:ascii="仿宋" w:hAnsi="仿宋" w:eastAsia="仿宋"/>
          <w:b/>
          <w:color w:val="auto"/>
          <w:kern w:val="0"/>
          <w:sz w:val="24"/>
          <w:lang w:val="zh-CN"/>
        </w:rPr>
        <w:t>文件</w:t>
      </w:r>
      <w:r>
        <w:rPr>
          <w:rFonts w:hint="eastAsia" w:ascii="仿宋" w:hAnsi="仿宋" w:eastAsia="仿宋"/>
          <w:b/>
          <w:color w:val="auto"/>
          <w:sz w:val="24"/>
        </w:rPr>
        <w:t>截止时间、谈判时间及地点</w:t>
      </w:r>
    </w:p>
    <w:p>
      <w:pPr>
        <w:pStyle w:val="2"/>
        <w:spacing w:line="360" w:lineRule="auto"/>
        <w:ind w:firstLine="480" w:firstLineChars="200"/>
        <w:rPr>
          <w:rFonts w:ascii="仿宋" w:hAnsi="仿宋" w:eastAsia="仿宋"/>
          <w:b/>
          <w:color w:val="auto"/>
          <w:sz w:val="24"/>
        </w:rPr>
      </w:pPr>
      <w:r>
        <w:rPr>
          <w:rFonts w:hint="eastAsia" w:ascii="仿宋" w:hAnsi="仿宋" w:eastAsia="仿宋"/>
          <w:color w:val="auto"/>
          <w:sz w:val="24"/>
        </w:rPr>
        <w:t xml:space="preserve">5.1 </w:t>
      </w:r>
      <w:r>
        <w:rPr>
          <w:rFonts w:hint="eastAsia" w:ascii="仿宋" w:hAnsi="仿宋" w:eastAsia="仿宋"/>
          <w:color w:val="auto"/>
          <w:sz w:val="24"/>
          <w:lang w:val="zh-CN"/>
        </w:rPr>
        <w:t>递交响应</w:t>
      </w:r>
      <w:r>
        <w:rPr>
          <w:rFonts w:hint="eastAsia" w:ascii="仿宋" w:hAnsi="仿宋" w:eastAsia="仿宋"/>
          <w:color w:val="auto"/>
          <w:kern w:val="0"/>
          <w:sz w:val="24"/>
          <w:lang w:val="zh-CN"/>
        </w:rPr>
        <w:t>文件</w:t>
      </w:r>
      <w:r>
        <w:rPr>
          <w:rFonts w:hint="eastAsia" w:ascii="仿宋" w:hAnsi="仿宋" w:eastAsia="仿宋"/>
          <w:color w:val="auto"/>
          <w:sz w:val="24"/>
        </w:rPr>
        <w:t>截止时间、谈判时间</w:t>
      </w:r>
      <w:r>
        <w:rPr>
          <w:rFonts w:hint="eastAsia" w:ascii="仿宋" w:hAnsi="仿宋" w:eastAsia="仿宋"/>
          <w:b/>
          <w:color w:val="auto"/>
          <w:sz w:val="24"/>
        </w:rPr>
        <w:t>:2024年6月</w:t>
      </w:r>
      <w:r>
        <w:rPr>
          <w:rFonts w:hint="eastAsia" w:ascii="仿宋" w:hAnsi="仿宋" w:eastAsia="仿宋"/>
          <w:b/>
          <w:color w:val="auto"/>
          <w:sz w:val="24"/>
          <w:lang w:val="en-US" w:eastAsia="zh-CN"/>
        </w:rPr>
        <w:t>19</w:t>
      </w:r>
      <w:r>
        <w:rPr>
          <w:rFonts w:hint="eastAsia" w:ascii="仿宋" w:hAnsi="仿宋" w:eastAsia="仿宋"/>
          <w:b/>
          <w:color w:val="auto"/>
          <w:sz w:val="24"/>
        </w:rPr>
        <w:t>日10:00（北京时间）。</w:t>
      </w:r>
    </w:p>
    <w:p>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rPr>
        <w:t>5.2 谈判地点：自贡市自流井区汇东丹桂大街蓝鹰海岸综合楼二楼四川久润招投标代理有限公司评审室。</w:t>
      </w:r>
    </w:p>
    <w:p>
      <w:pPr>
        <w:pStyle w:val="2"/>
        <w:spacing w:line="360" w:lineRule="auto"/>
        <w:rPr>
          <w:color w:val="auto"/>
          <w:sz w:val="24"/>
        </w:rPr>
      </w:pPr>
    </w:p>
    <w:p>
      <w:pPr>
        <w:spacing w:line="360" w:lineRule="auto"/>
        <w:ind w:firstLine="490" w:firstLineChars="200"/>
        <w:outlineLvl w:val="1"/>
        <w:rPr>
          <w:color w:val="auto"/>
          <w:sz w:val="24"/>
        </w:rPr>
      </w:pPr>
      <w:r>
        <w:rPr>
          <w:rFonts w:hint="eastAsia" w:ascii="仿宋" w:hAnsi="仿宋" w:eastAsia="仿宋" w:cs="仿宋"/>
          <w:b/>
          <w:color w:val="auto"/>
          <w:spacing w:val="2"/>
          <w:sz w:val="24"/>
        </w:rPr>
        <w:t>六、联系方式</w:t>
      </w:r>
    </w:p>
    <w:p>
      <w:pPr>
        <w:pStyle w:val="87"/>
        <w:ind w:firstLine="964" w:firstLineChars="400"/>
        <w:rPr>
          <w:rFonts w:ascii="仿宋" w:hAnsi="仿宋" w:eastAsia="仿宋" w:cs="仿宋"/>
          <w:b/>
          <w:color w:val="auto"/>
          <w:sz w:val="24"/>
          <w:szCs w:val="24"/>
        </w:rPr>
      </w:pPr>
      <w:r>
        <w:rPr>
          <w:rFonts w:hint="eastAsia" w:ascii="仿宋" w:hAnsi="仿宋" w:eastAsia="仿宋" w:cs="仿宋"/>
          <w:b/>
          <w:color w:val="auto"/>
          <w:sz w:val="24"/>
          <w:szCs w:val="24"/>
        </w:rPr>
        <w:t>采 购 人：富顺县中医医院</w:t>
      </w:r>
    </w:p>
    <w:p>
      <w:pPr>
        <w:pStyle w:val="87"/>
        <w:ind w:firstLine="960" w:firstLineChars="400"/>
        <w:rPr>
          <w:rFonts w:ascii="仿宋" w:hAnsi="仿宋" w:eastAsia="仿宋" w:cs="仿宋"/>
          <w:bCs/>
          <w:color w:val="auto"/>
          <w:sz w:val="24"/>
          <w:szCs w:val="24"/>
        </w:rPr>
      </w:pPr>
      <w:r>
        <w:rPr>
          <w:rFonts w:hint="eastAsia" w:ascii="仿宋" w:hAnsi="仿宋" w:eastAsia="仿宋" w:cs="仿宋"/>
          <w:bCs/>
          <w:color w:val="auto"/>
          <w:sz w:val="24"/>
          <w:szCs w:val="24"/>
        </w:rPr>
        <w:t>地    址：自贡市富顺县东湖大道1801号</w:t>
      </w:r>
    </w:p>
    <w:p>
      <w:pPr>
        <w:pStyle w:val="87"/>
        <w:ind w:firstLine="960" w:firstLineChars="400"/>
        <w:rPr>
          <w:rFonts w:ascii="仿宋" w:hAnsi="仿宋" w:eastAsia="仿宋" w:cs="仿宋"/>
          <w:bCs/>
          <w:color w:val="auto"/>
          <w:sz w:val="24"/>
          <w:szCs w:val="24"/>
        </w:rPr>
      </w:pPr>
      <w:r>
        <w:rPr>
          <w:rFonts w:hint="eastAsia" w:ascii="仿宋" w:hAnsi="仿宋" w:eastAsia="仿宋" w:cs="仿宋"/>
          <w:bCs/>
          <w:color w:val="auto"/>
          <w:sz w:val="24"/>
          <w:szCs w:val="24"/>
        </w:rPr>
        <w:t>联</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系</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人：聂老师</w:t>
      </w:r>
    </w:p>
    <w:p>
      <w:pPr>
        <w:pStyle w:val="87"/>
        <w:ind w:firstLine="960" w:firstLineChars="400"/>
        <w:rPr>
          <w:rFonts w:ascii="仿宋" w:hAnsi="仿宋" w:eastAsia="仿宋" w:cs="仿宋"/>
          <w:b/>
          <w:color w:val="auto"/>
          <w:sz w:val="24"/>
          <w:szCs w:val="24"/>
        </w:rPr>
      </w:pPr>
      <w:r>
        <w:rPr>
          <w:rFonts w:hint="eastAsia" w:ascii="仿宋" w:hAnsi="仿宋" w:eastAsia="仿宋" w:cs="仿宋"/>
          <w:bCs/>
          <w:color w:val="auto"/>
          <w:sz w:val="24"/>
          <w:szCs w:val="24"/>
        </w:rPr>
        <w:t>联系电话：0813-5538002</w:t>
      </w:r>
    </w:p>
    <w:p>
      <w:pPr>
        <w:pStyle w:val="87"/>
        <w:ind w:firstLine="964" w:firstLineChars="400"/>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pPr>
        <w:pStyle w:val="25"/>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地  址：</w:t>
      </w:r>
      <w:r>
        <w:rPr>
          <w:rFonts w:hint="eastAsia" w:ascii="仿宋" w:hAnsi="仿宋" w:eastAsia="仿宋" w:cs="仿宋"/>
          <w:color w:val="auto"/>
          <w:lang w:val="zh-CN"/>
        </w:rPr>
        <w:t>自贡市自流井区汇东丹桂大街蓝鹰海岸综合楼二楼</w:t>
      </w:r>
    </w:p>
    <w:p>
      <w:pPr>
        <w:pStyle w:val="25"/>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联系人：牟女士</w:t>
      </w:r>
    </w:p>
    <w:p>
      <w:pPr>
        <w:pStyle w:val="25"/>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电  话：</w:t>
      </w:r>
      <w:r>
        <w:rPr>
          <w:rFonts w:hint="eastAsia" w:ascii="仿宋" w:hAnsi="仿宋" w:eastAsia="仿宋" w:cs="仿宋"/>
          <w:color w:val="auto"/>
          <w:lang w:val="zh-CN"/>
        </w:rPr>
        <w:t>0813-8108222</w:t>
      </w:r>
    </w:p>
    <w:p>
      <w:pPr>
        <w:pStyle w:val="25"/>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电子邮件：jrzb8222@126.com</w:t>
      </w:r>
    </w:p>
    <w:bookmarkEnd w:id="9"/>
    <w:bookmarkEnd w:id="10"/>
    <w:bookmarkEnd w:id="11"/>
    <w:p>
      <w:pPr>
        <w:pStyle w:val="87"/>
        <w:ind w:firstLine="480" w:firstLineChars="0"/>
        <w:rPr>
          <w:rFonts w:ascii="仿宋" w:hAnsi="仿宋" w:eastAsia="仿宋"/>
          <w:b/>
          <w:color w:val="auto"/>
          <w:sz w:val="24"/>
          <w:szCs w:val="24"/>
        </w:rPr>
      </w:pPr>
      <w:bookmarkStart w:id="12" w:name="_Toc32543"/>
      <w:bookmarkStart w:id="13" w:name="_Toc14619"/>
      <w:bookmarkStart w:id="14" w:name="_Toc24228"/>
      <w:bookmarkStart w:id="15" w:name="_Toc12394"/>
    </w:p>
    <w:p>
      <w:pPr>
        <w:pStyle w:val="25"/>
        <w:spacing w:before="0" w:after="0" w:line="360" w:lineRule="auto"/>
        <w:ind w:firstLine="482" w:firstLineChars="200"/>
        <w:jc w:val="both"/>
        <w:rPr>
          <w:rFonts w:ascii="仿宋" w:hAnsi="仿宋" w:eastAsia="仿宋" w:cs="仿宋"/>
          <w:b/>
          <w:color w:val="auto"/>
        </w:rPr>
        <w:sectPr>
          <w:footerReference r:id="rId11" w:type="default"/>
          <w:pgSz w:w="11850" w:h="16783"/>
          <w:pgMar w:top="1440" w:right="1531" w:bottom="1440" w:left="1644" w:header="851" w:footer="992" w:gutter="0"/>
          <w:pgNumType w:start="1"/>
          <w:cols w:space="720" w:num="1"/>
          <w:docGrid w:linePitch="312" w:charSpace="0"/>
        </w:sectPr>
      </w:pPr>
    </w:p>
    <w:p>
      <w:pPr>
        <w:spacing w:beforeLines="50" w:afterLines="100"/>
        <w:jc w:val="center"/>
        <w:outlineLvl w:val="0"/>
        <w:rPr>
          <w:color w:val="auto"/>
        </w:rPr>
      </w:pPr>
      <w:bookmarkStart w:id="16" w:name="_Toc29609"/>
      <w:bookmarkStart w:id="17" w:name="_Toc2195"/>
      <w:r>
        <w:rPr>
          <w:rFonts w:hint="eastAsia" w:ascii="仿宋" w:hAnsi="仿宋" w:eastAsia="仿宋" w:cs="仿宋"/>
          <w:b/>
          <w:bCs/>
          <w:color w:val="auto"/>
          <w:spacing w:val="-2"/>
          <w:sz w:val="36"/>
          <w:szCs w:val="36"/>
        </w:rPr>
        <w:t>第二章供应商谈判须知</w:t>
      </w:r>
      <w:bookmarkEnd w:id="12"/>
      <w:bookmarkEnd w:id="13"/>
      <w:bookmarkEnd w:id="14"/>
      <w:bookmarkEnd w:id="15"/>
      <w:bookmarkEnd w:id="16"/>
      <w:bookmarkEnd w:id="17"/>
    </w:p>
    <w:p>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6"/>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pPr>
              <w:pStyle w:val="82"/>
              <w:jc w:val="center"/>
              <w:rPr>
                <w:rFonts w:ascii="仿宋" w:hAnsi="仿宋" w:eastAsia="仿宋" w:cs="仿宋"/>
                <w:bCs/>
                <w:color w:val="auto"/>
                <w:kern w:val="2"/>
                <w:lang w:val="zh-CN"/>
              </w:rPr>
            </w:pPr>
            <w:r>
              <w:rPr>
                <w:rFonts w:hint="eastAsia" w:ascii="仿宋" w:hAnsi="仿宋" w:eastAsia="仿宋" w:cs="仿宋"/>
                <w:b/>
                <w:color w:val="auto"/>
                <w:kern w:val="2"/>
                <w:lang w:val="zh-CN"/>
              </w:rPr>
              <w:t>序号</w:t>
            </w:r>
          </w:p>
        </w:tc>
        <w:tc>
          <w:tcPr>
            <w:tcW w:w="2093" w:type="dxa"/>
            <w:vAlign w:val="center"/>
          </w:tcPr>
          <w:p>
            <w:pPr>
              <w:pStyle w:val="82"/>
              <w:jc w:val="center"/>
              <w:rPr>
                <w:rFonts w:ascii="仿宋" w:hAnsi="仿宋" w:eastAsia="仿宋" w:cs="仿宋"/>
                <w:b/>
                <w:color w:val="auto"/>
                <w:kern w:val="2"/>
                <w:lang w:val="zh-CN"/>
              </w:rPr>
            </w:pPr>
            <w:r>
              <w:rPr>
                <w:rFonts w:hint="eastAsia" w:ascii="仿宋" w:hAnsi="仿宋" w:eastAsia="仿宋" w:cs="仿宋"/>
                <w:b/>
                <w:color w:val="auto"/>
                <w:kern w:val="2"/>
                <w:lang w:val="zh-CN"/>
              </w:rPr>
              <w:t>条款名称</w:t>
            </w:r>
          </w:p>
        </w:tc>
        <w:tc>
          <w:tcPr>
            <w:tcW w:w="6705" w:type="dxa"/>
            <w:vAlign w:val="center"/>
          </w:tcPr>
          <w:p>
            <w:pPr>
              <w:pStyle w:val="82"/>
              <w:jc w:val="center"/>
              <w:rPr>
                <w:rFonts w:ascii="仿宋" w:hAnsi="仿宋" w:eastAsia="仿宋" w:cs="仿宋"/>
                <w:b/>
                <w:color w:val="auto"/>
                <w:kern w:val="2"/>
                <w:lang w:val="zh-CN"/>
              </w:rPr>
            </w:pPr>
            <w:r>
              <w:rPr>
                <w:rFonts w:hint="eastAsia" w:ascii="仿宋" w:hAnsi="仿宋" w:eastAsia="仿宋" w:cs="仿宋"/>
                <w:b/>
                <w:color w:val="auto"/>
                <w:kern w:val="2"/>
                <w:lang w:val="zh-CN"/>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w:t>
            </w:r>
          </w:p>
        </w:tc>
        <w:tc>
          <w:tcPr>
            <w:tcW w:w="2093" w:type="dxa"/>
            <w:vAlign w:val="center"/>
          </w:tcPr>
          <w:p>
            <w:pPr>
              <w:spacing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确定邀请谈判的         供应商数量和方式</w:t>
            </w:r>
          </w:p>
        </w:tc>
        <w:tc>
          <w:tcPr>
            <w:tcW w:w="6705" w:type="dxa"/>
            <w:vAlign w:val="center"/>
          </w:tcPr>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本次项目邀请的供应商数量：3家及以上。</w:t>
            </w:r>
          </w:p>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lang w:val="zh-CN"/>
              </w:rPr>
              <w:t>本次采购在</w:t>
            </w:r>
            <w:r>
              <w:rPr>
                <w:rFonts w:hint="eastAsia" w:ascii="仿宋" w:hAnsi="仿宋" w:eastAsia="仿宋" w:cs="仿宋"/>
                <w:color w:val="auto"/>
                <w:sz w:val="24"/>
              </w:rPr>
              <w:t>四川招投标网</w:t>
            </w:r>
            <w:r>
              <w:rPr>
                <w:rFonts w:hint="eastAsia" w:ascii="仿宋" w:hAnsi="仿宋" w:eastAsia="仿宋"/>
                <w:color w:val="auto"/>
                <w:spacing w:val="-2"/>
                <w:sz w:val="24"/>
              </w:rPr>
              <w:t>（www.scbid.com）</w:t>
            </w:r>
            <w:r>
              <w:rPr>
                <w:rFonts w:hint="eastAsia" w:ascii="仿宋" w:hAnsi="仿宋" w:eastAsia="仿宋" w:cs="仿宋"/>
                <w:bCs/>
                <w:color w:val="auto"/>
                <w:sz w:val="24"/>
                <w:lang w:val="zh-CN"/>
              </w:rPr>
              <w:t>上以公告形式发布。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w:t>
            </w:r>
          </w:p>
        </w:tc>
        <w:tc>
          <w:tcPr>
            <w:tcW w:w="2093"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采购预算</w:t>
            </w:r>
          </w:p>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
                <w:bCs/>
                <w:color w:val="auto"/>
                <w:lang w:val="zh-CN"/>
              </w:rPr>
              <w:t>（实质性要求）</w:t>
            </w:r>
          </w:p>
        </w:tc>
        <w:tc>
          <w:tcPr>
            <w:tcW w:w="6705" w:type="dxa"/>
            <w:vAlign w:val="center"/>
          </w:tcPr>
          <w:p>
            <w:pPr>
              <w:pStyle w:val="82"/>
              <w:ind w:left="42" w:leftChars="20" w:firstLine="240" w:firstLineChars="100"/>
              <w:rPr>
                <w:rFonts w:ascii="仿宋" w:hAnsi="仿宋" w:eastAsia="仿宋" w:cs="仿宋"/>
                <w:bCs/>
                <w:color w:val="auto"/>
              </w:rPr>
            </w:pPr>
            <w:r>
              <w:rPr>
                <w:rFonts w:hint="eastAsia" w:ascii="仿宋" w:hAnsi="仿宋" w:eastAsia="仿宋" w:cs="仿宋"/>
                <w:bCs/>
                <w:color w:val="auto"/>
                <w:kern w:val="2"/>
              </w:rPr>
              <w:t>采购预算</w:t>
            </w:r>
            <w:r>
              <w:rPr>
                <w:rFonts w:hint="eastAsia" w:ascii="仿宋" w:hAnsi="仿宋" w:eastAsia="仿宋" w:cs="仿宋"/>
                <w:bCs/>
                <w:color w:val="auto"/>
              </w:rPr>
              <w:t>：285000.00元；</w:t>
            </w:r>
          </w:p>
          <w:p>
            <w:pPr>
              <w:spacing w:afterLines="20" w:line="400" w:lineRule="exact"/>
              <w:ind w:left="42" w:leftChars="20" w:right="42" w:rightChars="20" w:firstLine="240" w:firstLineChars="100"/>
              <w:outlineLvl w:val="1"/>
              <w:rPr>
                <w:rFonts w:ascii="仿宋" w:hAnsi="仿宋" w:eastAsia="仿宋" w:cs="仿宋"/>
                <w:bCs/>
                <w:color w:val="auto"/>
                <w:sz w:val="24"/>
              </w:rPr>
            </w:pPr>
            <w:r>
              <w:rPr>
                <w:rFonts w:hint="eastAsia" w:ascii="仿宋" w:hAnsi="仿宋" w:eastAsia="仿宋" w:cs="仿宋"/>
                <w:bCs/>
                <w:color w:val="auto"/>
                <w:sz w:val="24"/>
                <w:lang w:val="zh-CN"/>
              </w:rPr>
              <w:t>供应商报价超过采购预算金额的，视为无效响应。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3</w:t>
            </w:r>
          </w:p>
        </w:tc>
        <w:tc>
          <w:tcPr>
            <w:tcW w:w="2093"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最高限价</w:t>
            </w:r>
          </w:p>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
                <w:bCs/>
                <w:color w:val="auto"/>
                <w:lang w:val="zh-CN"/>
              </w:rPr>
              <w:t>（实质性要求）</w:t>
            </w:r>
          </w:p>
        </w:tc>
        <w:tc>
          <w:tcPr>
            <w:tcW w:w="6705" w:type="dxa"/>
            <w:vAlign w:val="center"/>
          </w:tcPr>
          <w:p>
            <w:pPr>
              <w:spacing w:afterLines="20" w:line="400" w:lineRule="exact"/>
              <w:ind w:left="42" w:leftChars="20" w:right="42" w:rightChars="20" w:firstLine="240" w:firstLineChars="100"/>
              <w:outlineLvl w:val="1"/>
              <w:rPr>
                <w:rFonts w:ascii="仿宋" w:hAnsi="仿宋" w:eastAsia="仿宋" w:cs="仿宋"/>
                <w:bCs/>
                <w:color w:val="auto"/>
                <w:sz w:val="24"/>
              </w:rPr>
            </w:pPr>
            <w:r>
              <w:rPr>
                <w:rFonts w:hint="eastAsia" w:ascii="仿宋" w:hAnsi="仿宋" w:eastAsia="仿宋" w:cs="仿宋"/>
                <w:bCs/>
                <w:color w:val="auto"/>
                <w:sz w:val="24"/>
              </w:rPr>
              <w:t>最高限价：285000.00元；</w:t>
            </w:r>
          </w:p>
          <w:p>
            <w:pPr>
              <w:pStyle w:val="2"/>
              <w:spacing w:afterLines="20" w:line="400" w:lineRule="exact"/>
              <w:ind w:left="42" w:leftChars="20" w:right="42" w:rightChars="20" w:firstLine="240" w:firstLineChars="100"/>
              <w:rPr>
                <w:rFonts w:ascii="仿宋" w:hAnsi="仿宋" w:eastAsia="仿宋" w:cs="仿宋"/>
                <w:color w:val="auto"/>
                <w:sz w:val="21"/>
              </w:rPr>
            </w:pPr>
            <w:r>
              <w:rPr>
                <w:rFonts w:hint="eastAsia" w:ascii="仿宋" w:hAnsi="仿宋" w:eastAsia="仿宋" w:cs="仿宋"/>
                <w:color w:val="auto"/>
                <w:sz w:val="24"/>
                <w:lang w:val="zh-CN"/>
              </w:rPr>
              <w:t>供应商报价超过对应最高限价的，视为无效响应。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4</w:t>
            </w:r>
          </w:p>
        </w:tc>
        <w:tc>
          <w:tcPr>
            <w:tcW w:w="2093" w:type="dxa"/>
            <w:vAlign w:val="center"/>
          </w:tcPr>
          <w:p>
            <w:pPr>
              <w:autoSpaceDE w:val="0"/>
              <w:autoSpaceDN w:val="0"/>
              <w:adjustRightInd w:val="0"/>
              <w:spacing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低于成本价不正</w:t>
            </w:r>
          </w:p>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当竞争预防措施</w:t>
            </w:r>
          </w:p>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eastAsia="仿宋" w:cs="仿宋"/>
                <w:b/>
                <w:color w:val="auto"/>
                <w:kern w:val="2"/>
                <w:lang w:val="zh-CN"/>
              </w:rPr>
              <w:t>（实质性要求）</w:t>
            </w:r>
          </w:p>
        </w:tc>
        <w:tc>
          <w:tcPr>
            <w:tcW w:w="6705" w:type="dxa"/>
            <w:vAlign w:val="center"/>
          </w:tcPr>
          <w:p>
            <w:pPr>
              <w:spacing w:afterLines="20" w:line="400" w:lineRule="exact"/>
              <w:ind w:left="42" w:leftChars="20" w:right="42" w:rightChars="20" w:firstLine="240" w:firstLineChars="100"/>
              <w:rPr>
                <w:rFonts w:ascii="仿宋" w:hAnsi="仿宋" w:eastAsia="仿宋" w:cs="仿宋"/>
                <w:bCs/>
                <w:color w:val="auto"/>
                <w:sz w:val="24"/>
                <w:szCs w:val="32"/>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p>
          <w:p>
            <w:pPr>
              <w:spacing w:afterLines="20" w:line="400" w:lineRule="exact"/>
              <w:ind w:left="42" w:leftChars="20" w:right="42" w:rightChars="20" w:firstLine="240" w:firstLineChars="100"/>
              <w:rPr>
                <w:rFonts w:ascii="仿宋" w:hAnsi="仿宋" w:eastAsia="仿宋" w:cs="仿宋"/>
                <w:bCs/>
                <w:color w:val="auto"/>
                <w:sz w:val="24"/>
                <w:szCs w:val="32"/>
              </w:rPr>
            </w:pP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p>
          <w:p>
            <w:pPr>
              <w:spacing w:afterLines="20" w:line="400" w:lineRule="exact"/>
              <w:ind w:left="42" w:leftChars="20" w:right="42" w:rightChars="20" w:firstLine="240" w:firstLineChars="100"/>
              <w:rPr>
                <w:rFonts w:ascii="仿宋" w:hAnsi="仿宋" w:eastAsia="仿宋" w:cs="仿宋"/>
                <w:bCs/>
                <w:color w:val="auto"/>
                <w:sz w:val="24"/>
                <w:szCs w:val="32"/>
              </w:rPr>
            </w:pP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p>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5</w:t>
            </w:r>
          </w:p>
        </w:tc>
        <w:tc>
          <w:tcPr>
            <w:tcW w:w="2093" w:type="dxa"/>
            <w:vAlign w:val="center"/>
          </w:tcPr>
          <w:p>
            <w:pPr>
              <w:pStyle w:val="82"/>
              <w:spacing w:afterLines="20" w:line="400" w:lineRule="exact"/>
              <w:ind w:left="42" w:leftChars="20" w:right="42" w:rightChars="20"/>
              <w:jc w:val="center"/>
              <w:rPr>
                <w:rFonts w:ascii="仿宋" w:hAnsi="仿宋" w:eastAsia="仿宋" w:cs="仿宋"/>
                <w:color w:val="auto"/>
                <w:lang w:val="zh-CN"/>
              </w:rPr>
            </w:pPr>
            <w:r>
              <w:rPr>
                <w:rFonts w:hint="eastAsia" w:ascii="仿宋" w:hAnsi="仿宋" w:eastAsia="仿宋" w:cs="仿宋"/>
                <w:color w:val="auto"/>
                <w:lang w:val="zh-CN"/>
              </w:rPr>
              <w:t>联合体</w:t>
            </w:r>
          </w:p>
          <w:p>
            <w:pPr>
              <w:pStyle w:val="82"/>
              <w:spacing w:afterLines="20" w:line="400" w:lineRule="exact"/>
              <w:ind w:left="42" w:leftChars="20" w:right="42" w:rightChars="20"/>
              <w:jc w:val="center"/>
              <w:rPr>
                <w:rFonts w:ascii="仿宋" w:hAnsi="仿宋" w:eastAsia="仿宋" w:cs="仿宋"/>
                <w:color w:val="auto"/>
                <w:kern w:val="2"/>
              </w:rPr>
            </w:pPr>
            <w:r>
              <w:rPr>
                <w:rFonts w:hint="eastAsia" w:ascii="仿宋" w:eastAsia="仿宋" w:cs="仿宋"/>
                <w:b/>
                <w:color w:val="auto"/>
                <w:kern w:val="2"/>
                <w:lang w:val="zh-CN"/>
              </w:rPr>
              <w:t>（实质性要求）</w:t>
            </w:r>
          </w:p>
        </w:tc>
        <w:tc>
          <w:tcPr>
            <w:tcW w:w="6705" w:type="dxa"/>
            <w:vAlign w:val="center"/>
          </w:tcPr>
          <w:p>
            <w:pPr>
              <w:pStyle w:val="82"/>
              <w:spacing w:afterLines="20" w:line="400" w:lineRule="exact"/>
              <w:ind w:left="42" w:leftChars="20" w:right="42" w:rightChars="20" w:firstLine="240" w:firstLineChars="100"/>
              <w:jc w:val="both"/>
              <w:rPr>
                <w:rFonts w:ascii="仿宋" w:hAnsi="仿宋" w:eastAsia="仿宋" w:cs="仿宋"/>
                <w:color w:val="auto"/>
                <w:kern w:val="2"/>
              </w:rPr>
            </w:pPr>
            <w:r>
              <w:rPr>
                <w:rFonts w:hint="eastAsia" w:ascii="仿宋" w:hAnsi="仿宋" w:eastAsia="仿宋" w:cs="仿宋"/>
                <w:color w:val="auto"/>
              </w:rPr>
              <w:t>本项目不接受联合体参与。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6</w:t>
            </w:r>
          </w:p>
        </w:tc>
        <w:tc>
          <w:tcPr>
            <w:tcW w:w="2093" w:type="dxa"/>
            <w:vAlign w:val="center"/>
          </w:tcPr>
          <w:p>
            <w:pPr>
              <w:pStyle w:val="82"/>
              <w:spacing w:afterLines="20" w:line="400" w:lineRule="exact"/>
              <w:ind w:left="42" w:leftChars="20" w:right="42" w:rightChars="20"/>
              <w:jc w:val="center"/>
              <w:rPr>
                <w:rFonts w:ascii="仿宋" w:hAnsi="仿宋" w:eastAsia="仿宋" w:cs="仿宋"/>
                <w:color w:val="auto"/>
                <w:lang w:val="zh-CN"/>
              </w:rPr>
            </w:pPr>
            <w:r>
              <w:rPr>
                <w:rFonts w:hint="eastAsia" w:ascii="仿宋" w:hAnsi="仿宋" w:eastAsia="仿宋" w:cs="仿宋"/>
                <w:color w:val="auto"/>
                <w:lang w:val="zh-CN"/>
              </w:rPr>
              <w:t>合同分包、转包</w:t>
            </w:r>
          </w:p>
          <w:p>
            <w:pPr>
              <w:pStyle w:val="82"/>
              <w:spacing w:afterLines="20" w:line="400" w:lineRule="exact"/>
              <w:ind w:left="42" w:leftChars="20" w:right="42" w:rightChars="20"/>
              <w:jc w:val="center"/>
              <w:rPr>
                <w:rFonts w:ascii="仿宋" w:hAnsi="仿宋" w:eastAsia="仿宋" w:cs="仿宋"/>
                <w:color w:val="auto"/>
                <w:kern w:val="2"/>
              </w:rPr>
            </w:pPr>
            <w:r>
              <w:rPr>
                <w:rFonts w:hint="eastAsia" w:ascii="仿宋" w:eastAsia="仿宋" w:cs="仿宋"/>
                <w:b/>
                <w:color w:val="auto"/>
                <w:kern w:val="2"/>
                <w:lang w:val="zh-CN"/>
              </w:rPr>
              <w:t>（实质性要求）</w:t>
            </w:r>
          </w:p>
        </w:tc>
        <w:tc>
          <w:tcPr>
            <w:tcW w:w="6705" w:type="dxa"/>
            <w:vAlign w:val="center"/>
          </w:tcPr>
          <w:p>
            <w:pPr>
              <w:pStyle w:val="82"/>
              <w:spacing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rPr>
              <w:t>采购人不允许成交供应商将本项目合同</w:t>
            </w:r>
            <w:r>
              <w:rPr>
                <w:rFonts w:hint="eastAsia" w:ascii="仿宋" w:hAnsi="仿宋" w:eastAsia="仿宋" w:cs="仿宋"/>
                <w:color w:val="auto"/>
                <w:kern w:val="2"/>
                <w:lang w:val="zh-CN"/>
              </w:rPr>
              <w:t>分包、转包。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7</w:t>
            </w:r>
          </w:p>
        </w:tc>
        <w:tc>
          <w:tcPr>
            <w:tcW w:w="2093" w:type="dxa"/>
            <w:vAlign w:val="center"/>
          </w:tcPr>
          <w:p>
            <w:pPr>
              <w:pStyle w:val="82"/>
              <w:spacing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kern w:val="2"/>
              </w:rPr>
              <w:t>评审情况公告</w:t>
            </w:r>
          </w:p>
        </w:tc>
        <w:tc>
          <w:tcPr>
            <w:tcW w:w="6705" w:type="dxa"/>
            <w:vAlign w:val="center"/>
          </w:tcPr>
          <w:p>
            <w:pPr>
              <w:pStyle w:val="82"/>
              <w:spacing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kern w:val="2"/>
              </w:rPr>
              <w:t>评审结果将在四川招投标网（www.scbid.com）上进行公示。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8</w:t>
            </w:r>
          </w:p>
        </w:tc>
        <w:tc>
          <w:tcPr>
            <w:tcW w:w="2093" w:type="dxa"/>
            <w:vAlign w:val="center"/>
          </w:tcPr>
          <w:p>
            <w:pPr>
              <w:pStyle w:val="82"/>
              <w:spacing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kern w:val="2"/>
                <w:lang w:val="zh-CN"/>
              </w:rPr>
              <w:t>谈判保证金</w:t>
            </w:r>
          </w:p>
        </w:tc>
        <w:tc>
          <w:tcPr>
            <w:tcW w:w="6705" w:type="dxa"/>
            <w:vAlign w:val="center"/>
          </w:tcPr>
          <w:p>
            <w:pPr>
              <w:pStyle w:val="82"/>
              <w:spacing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kern w:val="2"/>
              </w:rPr>
              <w:t>本项目不收取谈判保证金。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9</w:t>
            </w:r>
          </w:p>
        </w:tc>
        <w:tc>
          <w:tcPr>
            <w:tcW w:w="2093" w:type="dxa"/>
            <w:vAlign w:val="center"/>
          </w:tcPr>
          <w:p>
            <w:pPr>
              <w:pStyle w:val="82"/>
              <w:spacing w:afterLines="20" w:line="400" w:lineRule="exact"/>
              <w:ind w:left="42" w:leftChars="20" w:right="42" w:rightChars="20"/>
              <w:jc w:val="center"/>
              <w:rPr>
                <w:rFonts w:ascii="仿宋" w:hAnsi="仿宋" w:eastAsia="仿宋" w:cs="仿宋"/>
                <w:bCs/>
                <w:color w:val="auto"/>
              </w:rPr>
            </w:pPr>
            <w:r>
              <w:rPr>
                <w:rFonts w:hint="eastAsia" w:ascii="仿宋" w:hAnsi="仿宋" w:eastAsia="仿宋" w:cs="仿宋"/>
                <w:color w:val="auto"/>
                <w:lang w:val="zh-CN"/>
              </w:rPr>
              <w:t>履约保证金</w:t>
            </w:r>
          </w:p>
        </w:tc>
        <w:tc>
          <w:tcPr>
            <w:tcW w:w="6705" w:type="dxa"/>
            <w:vAlign w:val="center"/>
          </w:tcPr>
          <w:p>
            <w:pPr>
              <w:pStyle w:val="82"/>
              <w:spacing w:afterLines="20" w:line="400" w:lineRule="exact"/>
              <w:ind w:left="42" w:leftChars="20" w:right="42" w:rightChars="20" w:firstLine="240" w:firstLineChars="100"/>
              <w:jc w:val="both"/>
              <w:rPr>
                <w:rFonts w:ascii="仿宋" w:hAnsi="仿宋" w:eastAsia="仿宋" w:cs="仿宋"/>
                <w:bCs/>
                <w:color w:val="auto"/>
                <w:kern w:val="2"/>
              </w:rPr>
            </w:pPr>
            <w:r>
              <w:rPr>
                <w:rFonts w:hint="eastAsia" w:ascii="仿宋" w:hAnsi="仿宋" w:eastAsia="仿宋" w:cs="仿宋"/>
                <w:color w:val="auto"/>
                <w:kern w:val="2"/>
              </w:rPr>
              <w:t>本项目不收取</w:t>
            </w:r>
            <w:r>
              <w:rPr>
                <w:rFonts w:hint="eastAsia" w:ascii="仿宋" w:hAnsi="仿宋" w:eastAsia="仿宋" w:cs="仿宋"/>
                <w:color w:val="auto"/>
                <w:lang w:val="zh-CN"/>
              </w:rPr>
              <w:t>履约保证金</w:t>
            </w:r>
            <w:r>
              <w:rPr>
                <w:rFonts w:hint="eastAsia" w:ascii="仿宋" w:hAnsi="仿宋" w:eastAsia="仿宋" w:cs="仿宋"/>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10</w:t>
            </w:r>
          </w:p>
        </w:tc>
        <w:tc>
          <w:tcPr>
            <w:tcW w:w="2093" w:type="dxa"/>
            <w:vAlign w:val="center"/>
          </w:tcPr>
          <w:p>
            <w:pPr>
              <w:spacing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现场考察和</w:t>
            </w:r>
          </w:p>
          <w:p>
            <w:pPr>
              <w:spacing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color w:val="auto"/>
                <w:spacing w:val="-2"/>
                <w:sz w:val="24"/>
              </w:rPr>
              <w:t>谈判</w:t>
            </w:r>
            <w:r>
              <w:rPr>
                <w:rFonts w:hint="eastAsia" w:ascii="仿宋" w:hAnsi="仿宋" w:eastAsia="仿宋" w:cs="仿宋"/>
                <w:bCs/>
                <w:color w:val="auto"/>
                <w:sz w:val="24"/>
              </w:rPr>
              <w:t>前答疑会</w:t>
            </w:r>
          </w:p>
        </w:tc>
        <w:tc>
          <w:tcPr>
            <w:tcW w:w="6705" w:type="dxa"/>
            <w:vAlign w:val="center"/>
          </w:tcPr>
          <w:p>
            <w:pPr>
              <w:spacing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本项目</w:t>
            </w:r>
            <w:r>
              <w:rPr>
                <w:rFonts w:hint="eastAsia" w:ascii="仿宋" w:hAnsi="仿宋" w:eastAsia="仿宋" w:cs="仿宋"/>
                <w:bCs/>
                <w:color w:val="auto"/>
                <w:sz w:val="24"/>
              </w:rPr>
              <w:t>采购人</w:t>
            </w:r>
            <w:r>
              <w:rPr>
                <w:rFonts w:hint="eastAsia" w:ascii="仿宋" w:hAnsi="仿宋" w:eastAsia="仿宋" w:cs="仿宋"/>
                <w:color w:val="auto"/>
                <w:sz w:val="24"/>
              </w:rPr>
              <w:t>不组织现场考察和召开答疑会。</w:t>
            </w:r>
          </w:p>
          <w:p>
            <w:pPr>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采购人认为有必要，另行书面通知。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11</w:t>
            </w:r>
          </w:p>
        </w:tc>
        <w:tc>
          <w:tcPr>
            <w:tcW w:w="2093" w:type="dxa"/>
            <w:vAlign w:val="center"/>
          </w:tcPr>
          <w:p>
            <w:pPr>
              <w:pStyle w:val="82"/>
              <w:spacing w:afterLines="20" w:line="400" w:lineRule="exact"/>
              <w:ind w:left="0" w:leftChars="0" w:right="42" w:rightChars="20" w:firstLine="0" w:firstLineChars="0"/>
              <w:jc w:val="center"/>
              <w:rPr>
                <w:rFonts w:ascii="仿宋" w:hAnsi="仿宋" w:eastAsia="仿宋" w:cs="仿宋"/>
                <w:bCs/>
                <w:color w:val="auto"/>
                <w:kern w:val="2"/>
              </w:rPr>
            </w:pPr>
            <w:r>
              <w:rPr>
                <w:rFonts w:hint="eastAsia" w:ascii="仿宋" w:hAnsi="仿宋" w:eastAsia="仿宋" w:cs="仿宋"/>
                <w:color w:val="auto"/>
                <w:kern w:val="2"/>
              </w:rPr>
              <w:t>采购文件咨询</w:t>
            </w:r>
          </w:p>
        </w:tc>
        <w:tc>
          <w:tcPr>
            <w:tcW w:w="6705" w:type="dxa"/>
            <w:vAlign w:val="center"/>
          </w:tcPr>
          <w:p>
            <w:pPr>
              <w:spacing w:afterLines="20" w:line="400" w:lineRule="exact"/>
              <w:ind w:left="42" w:leftChars="20" w:right="42" w:rightChars="20" w:firstLine="240" w:firstLineChars="100"/>
              <w:rPr>
                <w:rFonts w:ascii="仿宋" w:hAnsi="仿宋" w:eastAsia="仿宋" w:cs="仿宋"/>
                <w:color w:val="auto"/>
                <w:sz w:val="24"/>
                <w:lang w:val="zh-CN"/>
              </w:rPr>
            </w:pPr>
            <w:r>
              <w:rPr>
                <w:rFonts w:hint="eastAsia" w:ascii="仿宋" w:hAnsi="仿宋" w:eastAsia="仿宋" w:cs="仿宋"/>
                <w:color w:val="auto"/>
                <w:sz w:val="24"/>
              </w:rPr>
              <w:t>联 系 人：牟女士</w:t>
            </w:r>
            <w:r>
              <w:rPr>
                <w:rFonts w:hint="eastAsia" w:ascii="仿宋" w:hAnsi="仿宋" w:eastAsia="仿宋" w:cs="仿宋"/>
                <w:color w:val="auto"/>
                <w:sz w:val="24"/>
                <w:lang w:val="zh-CN"/>
              </w:rPr>
              <w:t>；</w:t>
            </w:r>
          </w:p>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12</w:t>
            </w:r>
          </w:p>
        </w:tc>
        <w:tc>
          <w:tcPr>
            <w:tcW w:w="2093" w:type="dxa"/>
            <w:vAlign w:val="center"/>
          </w:tcPr>
          <w:p>
            <w:pPr>
              <w:pStyle w:val="82"/>
              <w:spacing w:afterLines="20" w:line="400" w:lineRule="exact"/>
              <w:ind w:left="0" w:leftChars="0" w:right="42" w:rightChars="20" w:firstLine="0" w:firstLineChars="0"/>
              <w:jc w:val="center"/>
              <w:rPr>
                <w:rFonts w:ascii="仿宋" w:hAnsi="仿宋" w:eastAsia="仿宋" w:cs="仿宋"/>
                <w:bCs/>
                <w:color w:val="auto"/>
                <w:kern w:val="2"/>
              </w:rPr>
            </w:pPr>
            <w:r>
              <w:rPr>
                <w:rFonts w:hint="eastAsia" w:ascii="仿宋" w:hAnsi="仿宋" w:eastAsia="仿宋" w:cs="仿宋"/>
                <w:color w:val="auto"/>
                <w:kern w:val="2"/>
              </w:rPr>
              <w:t>谈判、评审工作咨询</w:t>
            </w:r>
          </w:p>
        </w:tc>
        <w:tc>
          <w:tcPr>
            <w:tcW w:w="6705" w:type="dxa"/>
            <w:vAlign w:val="center"/>
          </w:tcPr>
          <w:p>
            <w:pPr>
              <w:spacing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联 系 人：牟女士；</w:t>
            </w:r>
          </w:p>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联系电话：0813-8108222。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13</w:t>
            </w:r>
          </w:p>
        </w:tc>
        <w:tc>
          <w:tcPr>
            <w:tcW w:w="2093" w:type="dxa"/>
            <w:vAlign w:val="center"/>
          </w:tcPr>
          <w:p>
            <w:pPr>
              <w:tabs>
                <w:tab w:val="left" w:pos="7665"/>
              </w:tabs>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hAnsi="仿宋" w:eastAsia="仿宋" w:cs="仿宋"/>
                <w:bCs/>
                <w:color w:val="auto"/>
                <w:sz w:val="24"/>
              </w:rPr>
              <w:t>响应有效期</w:t>
            </w:r>
          </w:p>
          <w:p>
            <w:pPr>
              <w:tabs>
                <w:tab w:val="left" w:pos="7665"/>
              </w:tabs>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eastAsia="仿宋" w:cs="仿宋"/>
                <w:b/>
                <w:color w:val="auto"/>
                <w:sz w:val="24"/>
                <w:lang w:val="zh-CN"/>
              </w:rPr>
              <w:t>（实质性要求）</w:t>
            </w:r>
          </w:p>
        </w:tc>
        <w:tc>
          <w:tcPr>
            <w:tcW w:w="6705" w:type="dxa"/>
            <w:vAlign w:val="center"/>
          </w:tcPr>
          <w:p>
            <w:pPr>
              <w:tabs>
                <w:tab w:val="left" w:pos="7665"/>
              </w:tabs>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本项目响应</w:t>
            </w:r>
            <w:r>
              <w:rPr>
                <w:rFonts w:hint="eastAsia" w:ascii="仿宋" w:hAnsi="仿宋" w:eastAsia="仿宋" w:cs="仿宋"/>
                <w:bCs/>
                <w:color w:val="auto"/>
                <w:sz w:val="24"/>
                <w:lang w:val="zh-CN"/>
              </w:rPr>
              <w:t>有效期为递交响应文件截止之日起满</w:t>
            </w:r>
            <w:r>
              <w:rPr>
                <w:rFonts w:hint="eastAsia" w:ascii="仿宋" w:hAnsi="仿宋" w:eastAsia="仿宋" w:cs="仿宋"/>
                <w:bCs/>
                <w:color w:val="auto"/>
                <w:sz w:val="24"/>
              </w:rPr>
              <w:t>90天（从谈判之日起），</w:t>
            </w:r>
            <w:r>
              <w:rPr>
                <w:rFonts w:hint="eastAsia" w:ascii="仿宋" w:hAnsi="仿宋" w:eastAsia="仿宋" w:cs="仿宋"/>
                <w:bCs/>
                <w:color w:val="auto"/>
                <w:sz w:val="24"/>
                <w:lang w:val="zh-CN"/>
              </w:rPr>
              <w:t>响应文件响应</w:t>
            </w:r>
            <w:r>
              <w:rPr>
                <w:rFonts w:hint="eastAsia" w:ascii="仿宋" w:hAnsi="仿宋" w:eastAsia="仿宋" w:cs="仿宋"/>
                <w:bCs/>
                <w:color w:val="auto"/>
                <w:sz w:val="24"/>
              </w:rPr>
              <w:t>有效期不足将导致其响应文件无效。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14</w:t>
            </w:r>
          </w:p>
        </w:tc>
        <w:tc>
          <w:tcPr>
            <w:tcW w:w="2093" w:type="dxa"/>
            <w:vAlign w:val="center"/>
          </w:tcPr>
          <w:p>
            <w:pPr>
              <w:tabs>
                <w:tab w:val="left" w:pos="7665"/>
              </w:tabs>
              <w:spacing w:afterLines="20" w:line="400" w:lineRule="exact"/>
              <w:ind w:left="0" w:leftChars="0" w:right="42" w:rightChars="20" w:firstLine="0" w:firstLineChars="0"/>
              <w:jc w:val="center"/>
              <w:rPr>
                <w:rFonts w:hint="eastAsia" w:ascii="仿宋" w:hAnsi="仿宋" w:eastAsia="仿宋" w:cs="仿宋"/>
                <w:bCs/>
                <w:color w:val="auto"/>
                <w:sz w:val="24"/>
              </w:rPr>
            </w:pPr>
            <w:r>
              <w:rPr>
                <w:rFonts w:hint="eastAsia" w:ascii="仿宋" w:hAnsi="仿宋" w:eastAsia="仿宋" w:cs="仿宋"/>
                <w:bCs/>
                <w:color w:val="auto"/>
                <w:sz w:val="24"/>
              </w:rPr>
              <w:t>响应文件份数</w:t>
            </w:r>
          </w:p>
          <w:p>
            <w:pPr>
              <w:tabs>
                <w:tab w:val="left" w:pos="7665"/>
              </w:tabs>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eastAsia="仿宋" w:cs="仿宋"/>
                <w:b/>
                <w:color w:val="auto"/>
                <w:sz w:val="24"/>
                <w:lang w:val="zh-CN"/>
              </w:rPr>
              <w:t>（实质性要求）</w:t>
            </w:r>
          </w:p>
        </w:tc>
        <w:tc>
          <w:tcPr>
            <w:tcW w:w="6705" w:type="dxa"/>
            <w:vAlign w:val="center"/>
          </w:tcPr>
          <w:p>
            <w:pPr>
              <w:tabs>
                <w:tab w:val="left" w:pos="7665"/>
              </w:tabs>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资格性响应文件1式3份（其中正本1份、副本2份）；</w:t>
            </w:r>
          </w:p>
          <w:p>
            <w:pPr>
              <w:tabs>
                <w:tab w:val="left" w:pos="7665"/>
              </w:tabs>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其他响应文件1式3份（其中正本1份、副本2份）;</w:t>
            </w:r>
          </w:p>
          <w:p>
            <w:pPr>
              <w:tabs>
                <w:tab w:val="left" w:pos="7665"/>
              </w:tabs>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报价响应文件1份；</w:t>
            </w:r>
          </w:p>
          <w:p>
            <w:pPr>
              <w:tabs>
                <w:tab w:val="left" w:pos="7665"/>
              </w:tabs>
              <w:spacing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响应文件电子文档（U盘）1份。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15</w:t>
            </w:r>
          </w:p>
        </w:tc>
        <w:tc>
          <w:tcPr>
            <w:tcW w:w="2093" w:type="dxa"/>
            <w:vAlign w:val="center"/>
          </w:tcPr>
          <w:p>
            <w:pPr>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hAnsi="仿宋" w:eastAsia="仿宋" w:cs="仿宋"/>
                <w:bCs/>
                <w:color w:val="auto"/>
                <w:sz w:val="24"/>
              </w:rPr>
              <w:t>成交通知书领取</w:t>
            </w:r>
          </w:p>
        </w:tc>
        <w:tc>
          <w:tcPr>
            <w:tcW w:w="6705" w:type="dxa"/>
            <w:vAlign w:val="center"/>
          </w:tcPr>
          <w:p>
            <w:pPr>
              <w:tabs>
                <w:tab w:val="left" w:pos="7665"/>
              </w:tabs>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采购结果在四川招投标网</w:t>
            </w:r>
            <w:r>
              <w:rPr>
                <w:rFonts w:hint="eastAsia" w:ascii="仿宋" w:hAnsi="仿宋" w:eastAsia="仿宋"/>
                <w:color w:val="auto"/>
                <w:spacing w:val="-2"/>
                <w:sz w:val="24"/>
              </w:rPr>
              <w:t>（www.scbid.com）</w:t>
            </w:r>
            <w:r>
              <w:rPr>
                <w:rFonts w:hint="eastAsia" w:ascii="仿宋" w:hAnsi="仿宋" w:eastAsia="仿宋" w:cs="仿宋"/>
                <w:bCs/>
                <w:color w:val="auto"/>
                <w:sz w:val="24"/>
              </w:rPr>
              <w:t>上公示后，</w:t>
            </w:r>
            <w:r>
              <w:rPr>
                <w:rFonts w:hint="eastAsia" w:ascii="仿宋" w:hAnsi="仿宋" w:eastAsia="仿宋" w:cs="仿宋"/>
                <w:color w:val="auto"/>
                <w:sz w:val="24"/>
                <w:lang w:val="zh-CN"/>
              </w:rPr>
              <w:t>请成交供应商凭有效身份证明证件到采购代理机构办理完代理服务费交费手续后领取成交通知书。</w:t>
            </w:r>
          </w:p>
          <w:p>
            <w:pPr>
              <w:tabs>
                <w:tab w:val="left" w:pos="7665"/>
              </w:tabs>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联 系 人：张女士</w:t>
            </w:r>
          </w:p>
          <w:p>
            <w:pPr>
              <w:tabs>
                <w:tab w:val="left" w:pos="7665"/>
              </w:tabs>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联系电话：0813-2220079</w:t>
            </w:r>
          </w:p>
          <w:p>
            <w:pPr>
              <w:tabs>
                <w:tab w:val="left" w:pos="7665"/>
              </w:tabs>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地址：</w:t>
            </w:r>
            <w:r>
              <w:rPr>
                <w:rFonts w:hint="eastAsia" w:ascii="仿宋" w:hAnsi="仿宋" w:eastAsia="仿宋" w:cs="仿宋"/>
                <w:color w:val="auto"/>
                <w:spacing w:val="-2"/>
                <w:sz w:val="24"/>
              </w:rPr>
              <w:t>自贡市自流井区汇东丹桂大街蓝鹰海岸综合楼二楼</w:t>
            </w:r>
            <w:r>
              <w:rPr>
                <w:rFonts w:hint="eastAsia" w:ascii="仿宋" w:hAnsi="仿宋" w:eastAsia="仿宋" w:cs="仿宋"/>
                <w:bCs/>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16</w:t>
            </w:r>
          </w:p>
        </w:tc>
        <w:tc>
          <w:tcPr>
            <w:tcW w:w="2093" w:type="dxa"/>
            <w:vAlign w:val="center"/>
          </w:tcPr>
          <w:p>
            <w:pPr>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hAnsi="仿宋" w:eastAsia="仿宋" w:cs="仿宋"/>
                <w:bCs/>
                <w:color w:val="auto"/>
                <w:sz w:val="24"/>
              </w:rPr>
              <w:t>采购代理服务费</w:t>
            </w:r>
            <w:r>
              <w:rPr>
                <w:rFonts w:hint="eastAsia" w:ascii="仿宋" w:eastAsia="仿宋" w:cs="仿宋"/>
                <w:b/>
                <w:color w:val="auto"/>
                <w:sz w:val="24"/>
                <w:lang w:val="zh-CN"/>
              </w:rPr>
              <w:t>（实质性要求）</w:t>
            </w:r>
          </w:p>
        </w:tc>
        <w:tc>
          <w:tcPr>
            <w:tcW w:w="6705" w:type="dxa"/>
            <w:vAlign w:val="center"/>
          </w:tcPr>
          <w:p>
            <w:pPr>
              <w:pStyle w:val="82"/>
              <w:spacing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本项目预算已包含采购代理服务费,根据委托代理协议约定，本项目采购代理服务费按照</w:t>
            </w:r>
            <w:r>
              <w:rPr>
                <w:rFonts w:hint="eastAsia" w:ascii="仿宋" w:hAnsi="仿宋" w:eastAsia="仿宋" w:cs="仿宋"/>
                <w:bCs/>
                <w:color w:val="auto"/>
                <w:kern w:val="2"/>
              </w:rPr>
              <w:t>3000.00</w:t>
            </w:r>
            <w:r>
              <w:rPr>
                <w:rFonts w:hint="eastAsia" w:ascii="仿宋" w:hAnsi="仿宋" w:eastAsia="仿宋" w:cs="仿宋"/>
                <w:bCs/>
                <w:color w:val="auto"/>
                <w:kern w:val="2"/>
                <w:lang w:val="zh-CN"/>
              </w:rPr>
              <w:t>元收取，由成交供应商支付。</w:t>
            </w:r>
          </w:p>
          <w:p>
            <w:pPr>
              <w:pStyle w:val="82"/>
              <w:spacing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代理服务费收款账户：</w:t>
            </w:r>
          </w:p>
          <w:p>
            <w:pPr>
              <w:pStyle w:val="82"/>
              <w:spacing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户    名：四川久润招投标代理有限公司</w:t>
            </w:r>
          </w:p>
          <w:p>
            <w:pPr>
              <w:pStyle w:val="82"/>
              <w:spacing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帐    号：102012000001139849</w:t>
            </w:r>
          </w:p>
          <w:p>
            <w:pPr>
              <w:pStyle w:val="82"/>
              <w:spacing w:afterLines="20" w:line="400" w:lineRule="exact"/>
              <w:ind w:left="42" w:leftChars="20" w:right="42" w:rightChars="20" w:firstLine="240" w:firstLineChars="100"/>
              <w:jc w:val="left"/>
              <w:rPr>
                <w:rFonts w:ascii="仿宋" w:hAnsi="仿宋" w:eastAsia="仿宋" w:cs="仿宋"/>
                <w:bCs/>
                <w:color w:val="auto"/>
                <w:kern w:val="2"/>
                <w:lang w:val="zh-CN"/>
              </w:rPr>
            </w:pPr>
            <w:r>
              <w:rPr>
                <w:rFonts w:hint="eastAsia" w:ascii="仿宋" w:hAnsi="仿宋" w:eastAsia="仿宋" w:cs="仿宋"/>
                <w:bCs/>
                <w:color w:val="auto"/>
                <w:kern w:val="2"/>
                <w:lang w:val="zh-CN"/>
              </w:rPr>
              <w:t>开 户 行：自贡银行股份有限公司营业部</w:t>
            </w:r>
          </w:p>
          <w:p>
            <w:pPr>
              <w:pStyle w:val="82"/>
              <w:spacing w:afterLines="20" w:line="400" w:lineRule="exact"/>
              <w:ind w:left="42" w:leftChars="20" w:right="42" w:rightChars="20" w:firstLine="240" w:firstLineChars="100"/>
              <w:jc w:val="both"/>
              <w:rPr>
                <w:rFonts w:ascii="仿宋" w:hAnsi="仿宋" w:eastAsia="仿宋" w:cs="仿宋"/>
                <w:color w:val="auto"/>
                <w:kern w:val="2"/>
              </w:rPr>
            </w:pPr>
            <w:r>
              <w:rPr>
                <w:rFonts w:hint="eastAsia" w:ascii="仿宋" w:hAnsi="仿宋" w:eastAsia="仿宋" w:cs="仿宋"/>
                <w:bCs/>
                <w:color w:val="auto"/>
                <w:kern w:val="2"/>
                <w:lang w:val="zh-CN"/>
              </w:rPr>
              <w:t>联系电话：0813-2220079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17</w:t>
            </w:r>
          </w:p>
        </w:tc>
        <w:tc>
          <w:tcPr>
            <w:tcW w:w="2093" w:type="dxa"/>
            <w:vAlign w:val="center"/>
          </w:tcPr>
          <w:p>
            <w:pPr>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hAnsi="仿宋" w:eastAsia="仿宋" w:cs="仿宋"/>
                <w:bCs/>
                <w:color w:val="auto"/>
                <w:sz w:val="24"/>
              </w:rPr>
              <w:t>本次采购活动适用法律、法规的特别约定和说明</w:t>
            </w:r>
          </w:p>
        </w:tc>
        <w:tc>
          <w:tcPr>
            <w:tcW w:w="6705" w:type="dxa"/>
            <w:vAlign w:val="center"/>
          </w:tcPr>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不接受质疑、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18</w:t>
            </w:r>
          </w:p>
        </w:tc>
        <w:tc>
          <w:tcPr>
            <w:tcW w:w="2093" w:type="dxa"/>
            <w:vAlign w:val="center"/>
          </w:tcPr>
          <w:p>
            <w:pPr>
              <w:spacing w:afterLines="20" w:line="400" w:lineRule="exact"/>
              <w:ind w:left="0" w:leftChars="0" w:right="42" w:rightChars="20" w:firstLine="0" w:firstLineChars="0"/>
              <w:jc w:val="center"/>
              <w:rPr>
                <w:rFonts w:ascii="仿宋" w:hAnsi="仿宋" w:eastAsia="仿宋" w:cs="仿宋"/>
                <w:bCs/>
                <w:color w:val="auto"/>
                <w:sz w:val="24"/>
              </w:rPr>
            </w:pPr>
            <w:r>
              <w:rPr>
                <w:rFonts w:hint="eastAsia" w:ascii="仿宋" w:hAnsi="仿宋" w:eastAsia="仿宋" w:cs="仿宋"/>
                <w:color w:val="auto"/>
                <w:sz w:val="24"/>
              </w:rPr>
              <w:t>确定供应商的程序及规则</w:t>
            </w:r>
          </w:p>
        </w:tc>
        <w:tc>
          <w:tcPr>
            <w:tcW w:w="6705" w:type="dxa"/>
            <w:vAlign w:val="center"/>
          </w:tcPr>
          <w:p>
            <w:pPr>
              <w:spacing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本次采购活动，采购人和代理机构为了公平起见，参考了政府采购法规制度中的部分评审程序和评审方法来评审确定成交供应商。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19</w:t>
            </w:r>
          </w:p>
        </w:tc>
        <w:tc>
          <w:tcPr>
            <w:tcW w:w="2093" w:type="dxa"/>
            <w:vAlign w:val="center"/>
          </w:tcPr>
          <w:p>
            <w:pPr>
              <w:pStyle w:val="82"/>
              <w:widowControl/>
              <w:spacing w:afterLines="20" w:line="400" w:lineRule="exact"/>
              <w:ind w:left="0" w:leftChars="0" w:right="42" w:rightChars="20" w:firstLine="0" w:firstLineChars="0"/>
              <w:jc w:val="center"/>
              <w:rPr>
                <w:rFonts w:ascii="仿宋" w:hAnsi="仿宋" w:eastAsia="仿宋" w:cs="仿宋"/>
                <w:color w:val="auto"/>
                <w:kern w:val="2"/>
              </w:rPr>
            </w:pPr>
            <w:r>
              <w:rPr>
                <w:rFonts w:hint="eastAsia" w:ascii="仿宋" w:hAnsi="仿宋" w:eastAsia="仿宋" w:cs="仿宋"/>
                <w:color w:val="auto"/>
              </w:rPr>
              <w:t>信用记录查询及使用</w:t>
            </w:r>
          </w:p>
          <w:p>
            <w:pPr>
              <w:pStyle w:val="82"/>
              <w:keepNext w:val="0"/>
              <w:widowControl/>
              <w:spacing w:afterLines="20" w:line="400" w:lineRule="exact"/>
              <w:ind w:left="42" w:leftChars="20" w:right="42" w:rightChars="20" w:firstLine="241" w:firstLineChars="100"/>
              <w:jc w:val="center"/>
              <w:outlineLvl w:val="9"/>
              <w:rPr>
                <w:rFonts w:ascii="仿宋" w:hAnsi="仿宋" w:eastAsia="仿宋" w:cs="仿宋"/>
                <w:b/>
                <w:color w:val="auto"/>
                <w:kern w:val="2"/>
              </w:rPr>
            </w:pPr>
          </w:p>
        </w:tc>
        <w:tc>
          <w:tcPr>
            <w:tcW w:w="6705" w:type="dxa"/>
            <w:vAlign w:val="center"/>
          </w:tcPr>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采购人、采购代理机构在供应商提交响应文件时间截止后，通过“信用中国”网站（www.creditchina.gov.cn）、“中国政府采购网”网站（www.ccgp.gov.cn）等渠道查询递交了响应文件的供应商的信用记录。经查询，截至响应文件提交截止日，列入失信被执行人、重大税收违法案件当事人名单、政府采购严重违法失信行为记录名单的供应商，不得参与本项目采购活动。</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以联合体形式参加本项目采购活动，联合体成员存在前述不良信用记录的，视同联合体存在前述不良信用记录，不得参与本项目采购活动。前述无效供应商的信用记录查询结果网页截图将予以保存。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20</w:t>
            </w:r>
          </w:p>
        </w:tc>
        <w:tc>
          <w:tcPr>
            <w:tcW w:w="2093" w:type="dxa"/>
            <w:vAlign w:val="center"/>
          </w:tcPr>
          <w:p>
            <w:pPr>
              <w:pStyle w:val="82"/>
              <w:spacing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rPr>
              <w:t>充分、公平竞争保障措施</w:t>
            </w:r>
          </w:p>
        </w:tc>
        <w:tc>
          <w:tcPr>
            <w:tcW w:w="6705" w:type="dxa"/>
            <w:vAlign w:val="center"/>
          </w:tcPr>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 xml:space="preserve">单位负责人为同一人或者存在直接控股、管理关系的不同供应商不得参加同一合同项下的采购活动。 </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不同供应商不得在同一合同项下的采购项目中，委托同一个自然人、同一单位的人员编制响应文件。</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不同供应商不得在同一合同项下的采购项目中，委托同一个自然人、同一单位的人员办理响应事宜。</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不同供应商的响应文件载明的项目管理成员或者联系人员不得为同一人。</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不同供应商的响应文件不得相互混装。</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w:t>
            </w:r>
          </w:p>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本项目符合本条规定的供应商是：</w:t>
            </w:r>
            <w:r>
              <w:rPr>
                <w:rFonts w:hint="eastAsia" w:ascii="仿宋" w:hAnsi="仿宋" w:eastAsia="仿宋" w:cs="仿宋"/>
                <w:color w:val="auto"/>
                <w:u w:val="single"/>
              </w:rPr>
              <w:t xml:space="preserve">  无   </w:t>
            </w:r>
            <w:r>
              <w:rPr>
                <w:rFonts w:hint="eastAsia" w:ascii="仿宋" w:hAnsi="仿宋" w:eastAsia="仿宋" w:cs="仿宋"/>
                <w:color w:val="auto"/>
              </w:rPr>
              <w:t>。</w:t>
            </w:r>
          </w:p>
          <w:p>
            <w:pPr>
              <w:autoSpaceDE w:val="0"/>
              <w:autoSpaceDN w:val="0"/>
              <w:adjustRightInd w:val="0"/>
              <w:spacing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本项目采购代理及其分支机构不得作为供应商参加本项目采购活动。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pPr>
              <w:pStyle w:val="82"/>
              <w:spacing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21</w:t>
            </w:r>
          </w:p>
        </w:tc>
        <w:tc>
          <w:tcPr>
            <w:tcW w:w="2093" w:type="dxa"/>
            <w:vAlign w:val="center"/>
          </w:tcPr>
          <w:p>
            <w:pPr>
              <w:pStyle w:val="87"/>
              <w:spacing w:afterLines="20" w:line="400" w:lineRule="exact"/>
              <w:ind w:left="42" w:leftChars="20" w:right="42" w:rightChars="20" w:firstLine="0" w:firstLineChars="0"/>
              <w:jc w:val="center"/>
              <w:rPr>
                <w:rFonts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pPr>
              <w:pStyle w:val="82"/>
              <w:spacing w:afterLines="20" w:line="400" w:lineRule="exact"/>
              <w:ind w:left="42" w:leftChars="20" w:right="42" w:rightChars="20" w:firstLine="240" w:firstLineChars="100"/>
              <w:jc w:val="left"/>
              <w:rPr>
                <w:rFonts w:ascii="仿宋" w:hAnsi="仿宋" w:eastAsia="仿宋" w:cs="仿宋"/>
                <w:color w:val="auto"/>
                <w:kern w:val="2"/>
              </w:rPr>
            </w:pPr>
            <w:r>
              <w:rPr>
                <w:rFonts w:hint="eastAsia" w:ascii="仿宋" w:hAnsi="仿宋" w:eastAsia="仿宋" w:cs="仿宋"/>
                <w:color w:val="auto"/>
              </w:rPr>
              <w:t>评审委在对供应商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为了提高评审效率，评审中需要供应商进行现场谈判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谈判或答疑、澄清，供应商未按此规定时间要求到达现场谈判或答疑、澄清的，视为放弃（或拒绝）谈判或答疑、澄清权，评审委有权作出不利于供应商的评判；若供应商不在开标现场且按其预留的联系方式无法通知到的，视为放弃（或拒绝）谈判或答疑、澄清权，评审委有权作出不利于供应商的评判，不利后果由供应商自行承担。</w:t>
            </w:r>
          </w:p>
        </w:tc>
      </w:tr>
    </w:tbl>
    <w:p>
      <w:pPr>
        <w:spacing w:beforeLines="100" w:afterLines="100"/>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rPr>
        <w:t>1.</w:t>
      </w:r>
      <w:r>
        <w:rPr>
          <w:rFonts w:hint="eastAsia" w:ascii="仿宋" w:hAnsi="仿宋" w:eastAsia="仿宋" w:cs="仿宋"/>
          <w:b/>
          <w:color w:val="auto"/>
          <w:sz w:val="24"/>
        </w:rPr>
        <w:t>适用范围</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pPr>
        <w:spacing w:line="360" w:lineRule="auto"/>
        <w:ind w:firstLine="480"/>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2.有关定义</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2.1“采购人”系指富顺县中医医院；</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2.2“采购代理机构”系指四川久润招投标代理有限公司；</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2.3“采购单位”系指“采购人”和“采购代理机构”的统称；</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pPr>
        <w:spacing w:line="360" w:lineRule="auto"/>
        <w:ind w:firstLine="480"/>
        <w:rPr>
          <w:rFonts w:ascii="仿宋" w:hAnsi="仿宋" w:eastAsia="仿宋" w:cs="仿宋"/>
          <w:bCs/>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3.合格的供应商（实质性要求）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（1）遵守国家有关的法律和法规，符合本竞争性谈判文件规定的供应商资格条件；</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（2）不属于禁止参加本项目采购活动的供应商；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（3）按照规定获取了竞争性谈判文件，属于实质性参加采购活动的供应商。</w:t>
      </w:r>
    </w:p>
    <w:p>
      <w:pPr>
        <w:spacing w:line="360" w:lineRule="auto"/>
        <w:ind w:firstLine="482" w:firstLineChars="200"/>
        <w:rPr>
          <w:rFonts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4.谈判费用（实质性要求）</w:t>
      </w:r>
    </w:p>
    <w:p>
      <w:pPr>
        <w:spacing w:line="360" w:lineRule="auto"/>
        <w:ind w:firstLine="488"/>
        <w:rPr>
          <w:rFonts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pPr>
        <w:spacing w:line="360" w:lineRule="auto"/>
        <w:ind w:firstLine="488"/>
        <w:rPr>
          <w:color w:val="auto"/>
        </w:rPr>
      </w:pPr>
    </w:p>
    <w:p>
      <w:pPr>
        <w:spacing w:line="360" w:lineRule="auto"/>
        <w:ind w:left="1" w:firstLine="482" w:firstLineChars="200"/>
        <w:rPr>
          <w:rFonts w:ascii="仿宋" w:eastAsia="仿宋" w:cs="仿宋"/>
          <w:color w:val="auto"/>
          <w:sz w:val="24"/>
        </w:rPr>
      </w:pPr>
      <w:r>
        <w:rPr>
          <w:rFonts w:hint="eastAsia" w:ascii="仿宋" w:hAnsi="仿宋" w:eastAsia="仿宋" w:cs="仿宋"/>
          <w:b/>
          <w:color w:val="auto"/>
          <w:sz w:val="24"/>
        </w:rPr>
        <w:t>5.回避（实质性要求）</w:t>
      </w:r>
    </w:p>
    <w:p>
      <w:pPr>
        <w:pStyle w:val="88"/>
        <w:spacing w:line="360" w:lineRule="auto"/>
        <w:ind w:left="1" w:firstLine="480" w:firstLineChars="200"/>
        <w:rPr>
          <w:rFonts w:ascii="仿宋" w:eastAsia="仿宋"/>
          <w:color w:val="auto"/>
          <w:sz w:val="24"/>
          <w:szCs w:val="24"/>
        </w:rPr>
      </w:pPr>
      <w:r>
        <w:rPr>
          <w:rFonts w:hint="eastAsia" w:ascii="仿宋" w:eastAsia="仿宋" w:cs="仿宋"/>
          <w:color w:val="auto"/>
          <w:sz w:val="24"/>
          <w:szCs w:val="24"/>
        </w:rPr>
        <w:t>5.1采购活动中，采购人员及相关人员与供应商有下列利害关系之一的，应当回避：</w:t>
      </w:r>
    </w:p>
    <w:p>
      <w:pPr>
        <w:pStyle w:val="88"/>
        <w:spacing w:line="360" w:lineRule="auto"/>
        <w:ind w:left="1" w:firstLine="480" w:firstLineChars="200"/>
        <w:rPr>
          <w:rFonts w:ascii="仿宋" w:eastAsia="仿宋"/>
          <w:color w:val="auto"/>
          <w:sz w:val="24"/>
          <w:szCs w:val="24"/>
        </w:rPr>
      </w:pPr>
      <w:r>
        <w:rPr>
          <w:rFonts w:hint="eastAsia" w:ascii="仿宋" w:eastAsia="仿宋" w:cs="仿宋"/>
          <w:bCs/>
          <w:color w:val="auto"/>
          <w:sz w:val="24"/>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pPr>
        <w:pStyle w:val="88"/>
        <w:spacing w:line="360" w:lineRule="auto"/>
        <w:ind w:left="1" w:firstLine="480" w:firstLineChars="200"/>
        <w:rPr>
          <w:rFonts w:ascii="仿宋" w:eastAsia="仿宋"/>
          <w:color w:val="auto"/>
          <w:sz w:val="24"/>
          <w:szCs w:val="24"/>
        </w:rPr>
      </w:pPr>
      <w:r>
        <w:rPr>
          <w:rFonts w:hint="eastAsia" w:ascii="仿宋" w:eastAsia="仿宋" w:cs="仿宋"/>
          <w:bCs/>
          <w:color w:val="auto"/>
          <w:sz w:val="24"/>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pPr>
        <w:pStyle w:val="88"/>
        <w:spacing w:line="360" w:lineRule="auto"/>
        <w:ind w:left="1" w:firstLine="480" w:firstLineChars="200"/>
        <w:rPr>
          <w:rFonts w:ascii="仿宋" w:eastAsia="仿宋"/>
          <w:color w:val="auto"/>
          <w:sz w:val="24"/>
          <w:szCs w:val="24"/>
        </w:rPr>
      </w:pPr>
      <w:r>
        <w:rPr>
          <w:rFonts w:hint="eastAsia" w:ascii="仿宋" w:eastAsia="仿宋" w:cs="仿宋"/>
          <w:bCs/>
          <w:color w:val="auto"/>
          <w:sz w:val="24"/>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pPr>
        <w:pStyle w:val="88"/>
        <w:spacing w:line="360" w:lineRule="auto"/>
        <w:ind w:left="1" w:firstLine="480" w:firstLineChars="200"/>
        <w:rPr>
          <w:rFonts w:ascii="仿宋" w:eastAsia="仿宋"/>
          <w:color w:val="auto"/>
          <w:sz w:val="24"/>
          <w:szCs w:val="24"/>
        </w:rPr>
      </w:pPr>
      <w:r>
        <w:rPr>
          <w:rFonts w:hint="eastAsia" w:ascii="仿宋" w:eastAsia="仿宋" w:cs="仿宋"/>
          <w:bCs/>
          <w:color w:val="auto"/>
          <w:sz w:val="24"/>
        </w:rPr>
        <w:t>（4）</w:t>
      </w:r>
      <w:r>
        <w:rPr>
          <w:rFonts w:hint="eastAsia" w:ascii="仿宋" w:eastAsia="仿宋" w:cs="仿宋"/>
          <w:color w:val="auto"/>
          <w:sz w:val="24"/>
          <w:szCs w:val="24"/>
        </w:rPr>
        <w:t>与供应商的法定代表人或者负责人有夫妻、直系血亲、三代以内旁系血亲或者近姻亲关系；</w:t>
      </w:r>
    </w:p>
    <w:p>
      <w:pPr>
        <w:pStyle w:val="88"/>
        <w:spacing w:line="360" w:lineRule="auto"/>
        <w:ind w:left="1" w:firstLine="480" w:firstLineChars="200"/>
        <w:rPr>
          <w:rFonts w:ascii="仿宋" w:eastAsia="仿宋"/>
          <w:color w:val="auto"/>
          <w:sz w:val="24"/>
          <w:szCs w:val="24"/>
        </w:rPr>
      </w:pPr>
      <w:r>
        <w:rPr>
          <w:rFonts w:hint="eastAsia" w:ascii="仿宋" w:eastAsia="仿宋" w:cs="仿宋"/>
          <w:bCs/>
          <w:color w:val="auto"/>
          <w:sz w:val="24"/>
        </w:rPr>
        <w:t>（5）</w:t>
      </w:r>
      <w:r>
        <w:rPr>
          <w:rFonts w:hint="eastAsia" w:ascii="仿宋" w:eastAsia="仿宋" w:cs="仿宋"/>
          <w:color w:val="auto"/>
          <w:sz w:val="24"/>
          <w:szCs w:val="24"/>
        </w:rPr>
        <w:t>与供应商有其他可能影响采购活动公平、公正进行的关系。</w:t>
      </w:r>
    </w:p>
    <w:p>
      <w:pPr>
        <w:pStyle w:val="88"/>
        <w:spacing w:line="360" w:lineRule="auto"/>
        <w:ind w:left="1" w:firstLine="480" w:firstLineChars="200"/>
        <w:rPr>
          <w:rFonts w:ascii="仿宋" w:eastAsia="仿宋"/>
          <w:color w:val="auto"/>
          <w:sz w:val="24"/>
          <w:szCs w:val="24"/>
        </w:rPr>
      </w:pPr>
      <w:r>
        <w:rPr>
          <w:rFonts w:hint="eastAsia" w:ascii="仿宋" w:eastAsia="仿宋" w:cs="仿宋"/>
          <w:color w:val="auto"/>
          <w:sz w:val="24"/>
          <w:szCs w:val="24"/>
        </w:rPr>
        <w:t>5.2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pPr>
        <w:spacing w:line="360" w:lineRule="auto"/>
        <w:ind w:firstLine="480" w:firstLineChars="200"/>
        <w:rPr>
          <w:rFonts w:ascii="仿宋" w:hAnsi="仿宋" w:eastAsia="仿宋" w:cs="仿宋"/>
          <w:b/>
          <w:color w:val="auto"/>
          <w:sz w:val="24"/>
        </w:rPr>
      </w:pPr>
      <w:r>
        <w:rPr>
          <w:rFonts w:hint="eastAsia" w:ascii="仿宋" w:eastAsia="仿宋" w:cs="仿宋"/>
          <w:color w:val="auto"/>
          <w:sz w:val="24"/>
        </w:rPr>
        <w:t>5.3供应商认为采购人员及相关人员与其他供应商有利害关系的，可以向采购代理机构书面提出回避申请，并说明理由。采购代理机构将及时询问被申请回避人员，有利害关系的被申请回避人员应当回避。</w:t>
      </w:r>
    </w:p>
    <w:p>
      <w:pPr>
        <w:spacing w:beforeLines="10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6.竞争性谈判文件的构成</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（1）谈判邀请；</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（2）供应商谈判须知；</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（3）供应商的资格条件要求；</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（4）供应商应当提供的资格证明材料；</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（5）采购项目内容及商务要求；</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（6）谈判内容、谈判过程中可能实质性变动的内容；</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（7）响应文件主要格式要求；</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（8）评审办法；</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（9）采购合同（样例）；</w:t>
      </w:r>
    </w:p>
    <w:p>
      <w:pPr>
        <w:spacing w:line="360" w:lineRule="auto"/>
        <w:ind w:firstLine="480"/>
        <w:rPr>
          <w:rFonts w:ascii="仿宋" w:eastAsia="仿宋" w:cs="仿宋"/>
          <w:bCs/>
          <w:color w:val="auto"/>
          <w:sz w:val="24"/>
        </w:rPr>
      </w:pPr>
      <w:r>
        <w:rPr>
          <w:rFonts w:hint="eastAsia" w:ascii="仿宋" w:eastAsia="仿宋" w:cs="仿宋"/>
          <w:bCs/>
          <w:color w:val="auto"/>
          <w:sz w:val="24"/>
        </w:rPr>
        <w:t>（10）附件。</w:t>
      </w:r>
    </w:p>
    <w:p>
      <w:pPr>
        <w:pStyle w:val="2"/>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6.2供应商应认真阅读和充分理解谈判文件中所有的事项、格式条款和规范要求。并保证所提供的全部资料的真实性和有效性，一经发现有虚假行为的，将取消其参加谈判或成交资格，并承担相应的法律责任。</w:t>
      </w:r>
    </w:p>
    <w:p>
      <w:pPr>
        <w:spacing w:line="360" w:lineRule="auto"/>
        <w:ind w:firstLine="486"/>
        <w:rPr>
          <w:rFonts w:ascii="仿宋" w:hAnsi="仿宋" w:eastAsia="仿宋" w:cs="仿宋"/>
          <w:bCs/>
          <w:color w:val="auto"/>
          <w:sz w:val="24"/>
        </w:rPr>
      </w:pPr>
      <w:r>
        <w:rPr>
          <w:rFonts w:hint="eastAsia" w:ascii="仿宋" w:hAnsi="仿宋" w:eastAsia="仿宋" w:cs="仿宋"/>
          <w:bCs/>
          <w:color w:val="auto"/>
          <w:sz w:val="24"/>
        </w:rPr>
        <w:t>6.3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pPr>
        <w:spacing w:line="360" w:lineRule="auto"/>
        <w:ind w:firstLine="486"/>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7.竞争性谈判文件的澄清和修改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7.1在响应截止时间前，采购单位无论出于何种原因，可以对竞争性谈判文件进行澄清或者修改；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7.2采购单位对已发出的竞争性谈判文件进行澄清或者修改，将在竞争性谈判文件要求的提交响应文件截止时间1日前进行，并以书面形式将澄清或者修改的内容通知所有购买了竞争性谈判文件的供应商；</w:t>
      </w:r>
    </w:p>
    <w:p>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7.3更正通知通过供应商报名时备注的电子邮箱发送至所有按照规定获得了谈判文件的供应商，供应商在收到相应更正通知后，以书面形式给予确认。如供应商未给予书面回复，则视为收到并认可该更正通知的内容。</w:t>
      </w:r>
    </w:p>
    <w:p>
      <w:pPr>
        <w:spacing w:line="360" w:lineRule="auto"/>
        <w:ind w:firstLine="420"/>
        <w:rPr>
          <w:rFonts w:ascii="仿宋" w:hAnsi="仿宋" w:eastAsia="仿宋" w:cs="仿宋"/>
          <w:bCs/>
          <w:color w:val="auto"/>
          <w:sz w:val="24"/>
        </w:rPr>
      </w:pPr>
      <w:r>
        <w:rPr>
          <w:rFonts w:hint="eastAsia" w:ascii="仿宋" w:hAnsi="仿宋" w:eastAsia="仿宋" w:cs="仿宋"/>
          <w:bCs/>
          <w:color w:val="auto"/>
          <w:sz w:val="24"/>
        </w:rPr>
        <w:t>7.4任何对竞争性谈判文件的澄清均为竞争性谈判文件的组成部分，并具有同等的法律效力；</w:t>
      </w:r>
    </w:p>
    <w:p>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7.5供应商要求采购单位对竞争性谈判文件进行澄清的，均应在递交响应文件截止时间1日前按竞争性谈判文件中的联系方式，以书面形式通知采购代理机构。</w:t>
      </w:r>
    </w:p>
    <w:p>
      <w:pPr>
        <w:spacing w:line="360" w:lineRule="auto"/>
        <w:ind w:firstLine="482"/>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8.答疑会和现场考察</w:t>
      </w:r>
    </w:p>
    <w:p>
      <w:pPr>
        <w:widowControl/>
        <w:spacing w:line="360" w:lineRule="auto"/>
        <w:ind w:firstLine="480" w:firstLineChars="200"/>
        <w:rPr>
          <w:color w:val="auto"/>
          <w:sz w:val="24"/>
        </w:rPr>
      </w:pPr>
      <w:r>
        <w:rPr>
          <w:rFonts w:hint="eastAsia" w:ascii="仿宋" w:hAnsi="仿宋" w:eastAsia="仿宋" w:cs="仿宋"/>
          <w:bCs/>
          <w:color w:val="auto"/>
          <w:sz w:val="24"/>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8.3供应商考察现场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8.4本项目不组织现场考察和召开答疑会。</w:t>
      </w:r>
      <w:r>
        <w:rPr>
          <w:rFonts w:hint="eastAsia" w:ascii="仿宋" w:hAnsi="仿宋" w:eastAsia="仿宋" w:cs="仿宋"/>
          <w:bCs/>
          <w:color w:val="auto"/>
          <w:sz w:val="24"/>
        </w:rPr>
        <w:t>供应商认为有必要，可自行前往项目地点进行现场考察。</w:t>
      </w:r>
    </w:p>
    <w:p>
      <w:pPr>
        <w:widowControl/>
        <w:spacing w:beforeLines="100" w:afterLines="100" w:line="360" w:lineRule="auto"/>
        <w:jc w:val="center"/>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9.响应文件须知</w:t>
      </w: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9.1响应文件的语言（实质性要求）</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9.1.1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9.1.2翻译的中文资料与外文资料如果出现差异和矛盾时，以中文为准。涉嫌虚假响应的按照相关法律法规处理。</w:t>
      </w:r>
    </w:p>
    <w:p>
      <w:pPr>
        <w:spacing w:line="360" w:lineRule="auto"/>
        <w:ind w:firstLine="480" w:firstLineChars="200"/>
        <w:rPr>
          <w:rFonts w:ascii="仿宋" w:eastAsia="仿宋"/>
          <w:color w:val="auto"/>
          <w:sz w:val="24"/>
        </w:rPr>
      </w:pPr>
      <w:r>
        <w:rPr>
          <w:rFonts w:hint="eastAsia" w:ascii="仿宋" w:eastAsia="仿宋" w:cs="仿宋"/>
          <w:color w:val="auto"/>
          <w:sz w:val="24"/>
        </w:rPr>
        <w:t>9</w:t>
      </w:r>
      <w:r>
        <w:rPr>
          <w:rFonts w:ascii="仿宋" w:eastAsia="仿宋" w:cs="仿宋"/>
          <w:color w:val="auto"/>
          <w:sz w:val="24"/>
        </w:rPr>
        <w:t>.</w:t>
      </w:r>
      <w:r>
        <w:rPr>
          <w:rFonts w:hint="eastAsia" w:ascii="仿宋" w:eastAsia="仿宋" w:cs="仿宋"/>
          <w:color w:val="auto"/>
          <w:sz w:val="24"/>
        </w:rPr>
        <w:t>1.</w:t>
      </w:r>
      <w:r>
        <w:rPr>
          <w:rFonts w:ascii="仿宋" w:eastAsia="仿宋" w:cs="仿宋"/>
          <w:color w:val="auto"/>
          <w:sz w:val="24"/>
        </w:rPr>
        <w:t xml:space="preserve">3 </w:t>
      </w:r>
      <w:r>
        <w:rPr>
          <w:rFonts w:hint="eastAsia" w:ascii="仿宋" w:eastAsia="仿宋" w:cs="仿宋"/>
          <w:color w:val="auto"/>
          <w:sz w:val="24"/>
        </w:rPr>
        <w:t>如因未翻译而造成的响应文件无效风险，由供应商承担。</w:t>
      </w:r>
    </w:p>
    <w:p>
      <w:pPr>
        <w:pStyle w:val="2"/>
        <w:spacing w:line="360" w:lineRule="auto"/>
        <w:ind w:firstLine="480"/>
        <w:rPr>
          <w:color w:val="auto"/>
        </w:rPr>
      </w:pP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9.2计量单位（实质性要求）</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pPr>
        <w:widowControl/>
        <w:spacing w:line="360" w:lineRule="auto"/>
        <w:ind w:firstLine="480"/>
        <w:jc w:val="left"/>
        <w:rPr>
          <w:rFonts w:ascii="仿宋" w:hAnsi="仿宋" w:eastAsia="仿宋" w:cs="仿宋"/>
          <w:b/>
          <w:bCs/>
          <w:color w:val="auto"/>
          <w:sz w:val="24"/>
        </w:rPr>
      </w:pPr>
    </w:p>
    <w:p>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rPr>
        <w:t>9.3响应货币（实质性要求）</w:t>
      </w:r>
    </w:p>
    <w:p>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pPr>
        <w:widowControl/>
        <w:spacing w:line="360" w:lineRule="auto"/>
        <w:jc w:val="left"/>
        <w:rPr>
          <w:rFonts w:ascii="仿宋" w:hAnsi="仿宋" w:eastAsia="仿宋" w:cs="仿宋"/>
          <w:color w:val="auto"/>
          <w:sz w:val="24"/>
        </w:rPr>
      </w:pPr>
    </w:p>
    <w:p>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rPr>
        <w:t>9.4知识产权（实质性要求）</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9.4.1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9.4.2除非谈判文件特别规定，采购人享有本项目实施过程中产生的知识成果及知识产权。</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9.4.3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9.4.4如采用供应商所不拥有的知识产权，则在响应报价中必须包括合法获取该知识产权的相关费用。</w:t>
      </w:r>
    </w:p>
    <w:p>
      <w:pPr>
        <w:widowControl/>
        <w:spacing w:line="360" w:lineRule="auto"/>
        <w:ind w:firstLine="480"/>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9.5响应有效期</w:t>
      </w:r>
      <w:r>
        <w:rPr>
          <w:rFonts w:hint="eastAsia" w:ascii="仿宋" w:hAnsi="仿宋" w:eastAsia="仿宋" w:cs="仿宋"/>
          <w:b/>
          <w:bCs/>
          <w:color w:val="auto"/>
          <w:sz w:val="24"/>
        </w:rPr>
        <w:t>（实质性要求）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9.5.1本项目响应有效期为递交响应文件截止之日起满</w:t>
      </w:r>
      <w:r>
        <w:rPr>
          <w:rFonts w:hint="eastAsia" w:ascii="仿宋" w:hAnsi="仿宋" w:eastAsia="仿宋" w:cs="仿宋"/>
          <w:b/>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pPr>
        <w:widowControl/>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pPr>
        <w:widowControl/>
        <w:spacing w:line="360" w:lineRule="auto"/>
        <w:ind w:firstLine="420" w:firstLineChars="200"/>
        <w:rPr>
          <w:color w:val="auto"/>
        </w:rPr>
      </w:pPr>
    </w:p>
    <w:p>
      <w:pPr>
        <w:widowControl/>
        <w:numPr>
          <w:ilvl w:val="255"/>
          <w:numId w:val="0"/>
        </w:numPr>
        <w:spacing w:line="360" w:lineRule="auto"/>
        <w:ind w:firstLine="482" w:firstLineChars="200"/>
        <w:rPr>
          <w:color w:val="auto"/>
        </w:rPr>
      </w:pPr>
      <w:r>
        <w:rPr>
          <w:rFonts w:hint="eastAsia" w:ascii="仿宋" w:hAnsi="仿宋" w:eastAsia="仿宋" w:cs="仿宋"/>
          <w:b/>
          <w:color w:val="auto"/>
          <w:sz w:val="24"/>
        </w:rPr>
        <w:t xml:space="preserve">10.响应文件的组成 </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pPr>
        <w:spacing w:line="360" w:lineRule="auto"/>
        <w:ind w:firstLine="480"/>
        <w:rPr>
          <w:rFonts w:ascii="仿宋" w:hAnsi="仿宋" w:eastAsia="仿宋" w:cs="仿宋"/>
          <w:b/>
          <w:color w:val="auto"/>
          <w:sz w:val="24"/>
        </w:rPr>
      </w:pPr>
      <w:r>
        <w:rPr>
          <w:rFonts w:hint="eastAsia" w:ascii="仿宋" w:hAnsi="仿宋" w:eastAsia="仿宋" w:cs="仿宋"/>
          <w:b/>
          <w:color w:val="auto"/>
          <w:sz w:val="24"/>
        </w:rPr>
        <w:t>10.1资格性响应文件</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资格证明文件（详见第四章）。</w:t>
      </w:r>
      <w:r>
        <w:rPr>
          <w:rFonts w:hint="eastAsia" w:ascii="仿宋" w:hAnsi="仿宋" w:eastAsia="仿宋" w:cs="仿宋"/>
          <w:b/>
          <w:color w:val="auto"/>
          <w:sz w:val="24"/>
        </w:rPr>
        <w:t>(实质性要求）</w:t>
      </w: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10.2其他响应文件</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10.2.1技术服务性响应部分</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供应商按照谈判文件要求做出的技术应答，主要是针对谈判项目的技术指标、参数、质量保证和服务要求做出的实质性响应和满足。供应商的技术服务响应包括但不限于下列内容：</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（1）技术服务应答表；</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（2）商务服务应答表；</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（3）拟派入本项目的主要实施人员情况表；</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（4）项目服务方案；</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（5）项目验收标准和验收方法。</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（6）其他有利于采购人或者供应商认为需要提供的文件和资料。</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10.2.2其他要求部分</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（1）供应商简介；</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（2）供应商基本情况表；</w:t>
      </w:r>
    </w:p>
    <w:p>
      <w:pPr>
        <w:widowControl/>
        <w:spacing w:line="360" w:lineRule="auto"/>
        <w:ind w:firstLine="480"/>
        <w:rPr>
          <w:rFonts w:ascii="仿宋" w:hAnsi="仿宋" w:eastAsia="仿宋" w:cs="仿宋"/>
          <w:b/>
          <w:color w:val="auto"/>
          <w:sz w:val="24"/>
        </w:rPr>
      </w:pPr>
      <w:r>
        <w:rPr>
          <w:rFonts w:hint="eastAsia" w:ascii="仿宋" w:hAnsi="仿宋" w:eastAsia="仿宋" w:cs="仿宋"/>
          <w:bCs/>
          <w:color w:val="auto"/>
          <w:sz w:val="24"/>
        </w:rPr>
        <w:t>（3）首轮报价一览表；</w:t>
      </w:r>
      <w:r>
        <w:rPr>
          <w:rFonts w:hint="eastAsia" w:ascii="仿宋" w:hAnsi="仿宋" w:eastAsia="仿宋" w:cs="仿宋"/>
          <w:b/>
          <w:color w:val="auto"/>
          <w:sz w:val="24"/>
        </w:rPr>
        <w:t>(实质性要求）</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（4）承诺函；</w:t>
      </w:r>
      <w:r>
        <w:rPr>
          <w:rFonts w:hint="eastAsia" w:ascii="仿宋" w:hAnsi="仿宋" w:eastAsia="仿宋" w:cs="仿宋"/>
          <w:b/>
          <w:color w:val="auto"/>
          <w:sz w:val="24"/>
        </w:rPr>
        <w:t>(实质性要求）</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（5）其他有利于供应商的服务承诺等。</w:t>
      </w:r>
    </w:p>
    <w:p>
      <w:pPr>
        <w:spacing w:line="360" w:lineRule="auto"/>
        <w:ind w:firstLine="482" w:firstLineChars="200"/>
        <w:rPr>
          <w:rFonts w:ascii="仿宋" w:hAnsi="仿宋" w:eastAsia="仿宋" w:cs="仿宋"/>
          <w:b/>
          <w:bCs/>
          <w:color w:val="auto"/>
          <w:sz w:val="24"/>
        </w:rPr>
      </w:pPr>
      <w:r>
        <w:rPr>
          <w:rFonts w:hint="eastAsia" w:ascii="仿宋" w:hAnsi="仿宋" w:eastAsia="仿宋" w:cs="仿宋"/>
          <w:b/>
          <w:color w:val="auto"/>
          <w:sz w:val="24"/>
        </w:rPr>
        <w:t>10.3报价</w:t>
      </w:r>
      <w:r>
        <w:rPr>
          <w:rFonts w:hint="eastAsia" w:ascii="仿宋" w:hAnsi="仿宋" w:eastAsia="仿宋" w:cs="仿宋"/>
          <w:b/>
          <w:bCs/>
          <w:color w:val="auto"/>
          <w:sz w:val="24"/>
        </w:rPr>
        <w:t>响应文件</w:t>
      </w:r>
    </w:p>
    <w:p>
      <w:pPr>
        <w:pStyle w:val="116"/>
        <w:ind w:firstLine="480" w:firstLineChars="200"/>
        <w:rPr>
          <w:rFonts w:ascii="仿宋" w:hAnsi="仿宋" w:eastAsia="仿宋" w:cs="仿宋"/>
          <w:color w:val="auto"/>
          <w:sz w:val="24"/>
        </w:rPr>
      </w:pPr>
      <w:r>
        <w:rPr>
          <w:rFonts w:hint="eastAsia" w:ascii="仿宋" w:hAnsi="仿宋" w:eastAsia="仿宋" w:cs="仿宋"/>
          <w:color w:val="auto"/>
          <w:sz w:val="24"/>
        </w:rPr>
        <w:t>10.3.1</w:t>
      </w:r>
      <w:r>
        <w:rPr>
          <w:rFonts w:hint="eastAsia" w:ascii="仿宋" w:hAnsi="仿宋" w:eastAsia="仿宋" w:cs="仿宋"/>
          <w:bCs/>
          <w:color w:val="auto"/>
          <w:sz w:val="24"/>
          <w:szCs w:val="22"/>
        </w:rPr>
        <w:t>“多轮报价一览表”1份以上，“多轮报价一览表”报价部分建议留空，以供供应商现场填写多轮报价使用。</w:t>
      </w:r>
    </w:p>
    <w:p>
      <w:pPr>
        <w:pStyle w:val="116"/>
        <w:ind w:firstLine="480" w:firstLineChars="200"/>
        <w:rPr>
          <w:color w:val="auto"/>
        </w:rPr>
      </w:pPr>
      <w:r>
        <w:rPr>
          <w:rFonts w:hint="eastAsia" w:ascii="仿宋" w:hAnsi="仿宋" w:eastAsia="仿宋" w:cs="仿宋"/>
          <w:color w:val="auto"/>
          <w:sz w:val="24"/>
        </w:rPr>
        <w:t>谈判结束后，谈判小组要求供应商进行多轮报价时，由</w:t>
      </w:r>
      <w:r>
        <w:rPr>
          <w:rFonts w:hint="eastAsia" w:ascii="仿宋" w:hAnsi="仿宋" w:eastAsia="仿宋" w:cs="仿宋"/>
          <w:color w:val="auto"/>
          <w:sz w:val="24"/>
          <w:szCs w:val="24"/>
        </w:rPr>
        <w:t>供应商填写“多轮报价一览表”，并自行准备密封袋，以备评审现场根据要求填写后密封提交。经供应商法定代表人或代理人签字后密封递交给代理机构工作人员。由其收集齐后交由监督代表集中递交谈判小组。</w:t>
      </w:r>
    </w:p>
    <w:p>
      <w:pPr>
        <w:pStyle w:val="116"/>
        <w:ind w:firstLine="480" w:firstLineChars="200"/>
        <w:rPr>
          <w:rFonts w:ascii="仿宋" w:hAnsi="仿宋" w:eastAsia="仿宋" w:cs="仿宋"/>
          <w:bCs/>
          <w:color w:val="auto"/>
          <w:sz w:val="24"/>
          <w:szCs w:val="22"/>
        </w:rPr>
      </w:pPr>
      <w:r>
        <w:rPr>
          <w:rFonts w:hint="eastAsia" w:ascii="仿宋" w:hAnsi="仿宋" w:eastAsia="仿宋" w:cs="仿宋"/>
          <w:bCs/>
          <w:color w:val="auto"/>
          <w:sz w:val="24"/>
          <w:szCs w:val="22"/>
        </w:rPr>
        <w:t>10.3.2“最后报价一览表”1份，“最后报价一览表”报价部分建议留空，以供供应商现场填写最后报价使用。</w:t>
      </w:r>
    </w:p>
    <w:p>
      <w:pPr>
        <w:pStyle w:val="116"/>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谈判结束后，谈判小组要求供应商进行最后报价时，由供应商填写“最后报价一览表”，并自行准备密封袋，以备评审现场根据要求填写后密封提交。经供应商法定代表人或代理人签字后密封递交给代理机构工作人员。由其收集齐后交由监督代表集中递交谈判小组。</w:t>
      </w: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本项目报价要求（实质性要求）</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①</w:t>
      </w:r>
      <w:r>
        <w:rPr>
          <w:rFonts w:hint="eastAsia" w:ascii="仿宋" w:hAnsi="仿宋" w:eastAsia="仿宋" w:cs="仿宋"/>
          <w:bCs/>
          <w:color w:val="auto"/>
          <w:sz w:val="24"/>
        </w:rPr>
        <w:t>供</w:t>
      </w:r>
      <w:r>
        <w:rPr>
          <w:rFonts w:hint="eastAsia" w:ascii="仿宋" w:hAnsi="仿宋" w:eastAsia="仿宋" w:cs="仿宋"/>
          <w:color w:val="auto"/>
          <w:sz w:val="24"/>
        </w:rPr>
        <w:t>应商的报价是供应商响应本项目要求的全部工作内容的价格体现，包括供应商完成本项目所需的一切费用。</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②供应商最后报价只允许有一个报价，并且在合同履行过程中是固定不变的，任何有选择或可调整的报价将不予接受，并按无效响应处理（但是按本采购文件的规定，属于报价计算错误可以修改的情形除外）。</w:t>
      </w:r>
    </w:p>
    <w:p>
      <w:pPr>
        <w:spacing w:line="360" w:lineRule="auto"/>
        <w:ind w:firstLine="480" w:firstLineChars="200"/>
        <w:rPr>
          <w:rFonts w:ascii="仿宋" w:hAnsi="仿宋" w:eastAsia="仿宋" w:cs="仿宋"/>
          <w:bCs/>
          <w:color w:val="auto"/>
          <w:sz w:val="24"/>
          <w:szCs w:val="22"/>
        </w:rPr>
      </w:pPr>
      <w:r>
        <w:rPr>
          <w:rFonts w:hint="eastAsia" w:ascii="仿宋" w:hAnsi="仿宋" w:eastAsia="仿宋" w:cs="仿宋"/>
          <w:color w:val="auto"/>
          <w:sz w:val="24"/>
        </w:rPr>
        <w:t>③</w:t>
      </w:r>
      <w:r>
        <w:rPr>
          <w:rFonts w:hint="eastAsia" w:ascii="仿宋" w:hAnsi="仿宋" w:eastAsia="仿宋" w:cs="仿宋"/>
          <w:bCs/>
          <w:color w:val="auto"/>
          <w:sz w:val="24"/>
        </w:rPr>
        <w:t>“最后报价一览表”</w:t>
      </w:r>
      <w:r>
        <w:rPr>
          <w:rFonts w:hint="eastAsia" w:ascii="仿宋" w:hAnsi="仿宋" w:eastAsia="仿宋" w:cs="仿宋"/>
          <w:bCs/>
          <w:color w:val="auto"/>
          <w:sz w:val="24"/>
          <w:szCs w:val="22"/>
        </w:rPr>
        <w:t>填写的报价将作为本次采购唯一的最后报价依据。</w:t>
      </w:r>
    </w:p>
    <w:p>
      <w:pPr>
        <w:spacing w:line="360" w:lineRule="auto"/>
        <w:ind w:firstLine="482" w:firstLineChars="200"/>
        <w:rPr>
          <w:rFonts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10.4电子文档</w:t>
      </w:r>
    </w:p>
    <w:p>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响应文件电子文档应当包含资格性响应文件和其他响应文件两部分。</w:t>
      </w:r>
    </w:p>
    <w:p>
      <w:pPr>
        <w:widowControl/>
        <w:spacing w:line="360" w:lineRule="auto"/>
        <w:jc w:val="left"/>
        <w:rPr>
          <w:rFonts w:ascii="仿宋" w:hAnsi="仿宋" w:eastAsia="仿宋" w:cs="仿宋"/>
          <w:color w:val="auto"/>
          <w:sz w:val="24"/>
        </w:rPr>
      </w:pPr>
    </w:p>
    <w:p>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11.响应文件格式</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七章中提供的“响应文件格式”填写相关内容。除格式中明确将该格式作为实质性要求的，一律不具有强制性，但是，供应商响应文件相关资料和本章所制格式不一致的，需涵盖所有要求内容，未按要求提供导致响应文件被认定为无效响应文件的，后果由供应商自行承担。</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pPr>
        <w:widowControl/>
        <w:spacing w:line="360" w:lineRule="auto"/>
        <w:rPr>
          <w:rFonts w:ascii="仿宋" w:hAnsi="仿宋" w:eastAsia="仿宋" w:cs="仿宋"/>
          <w:color w:val="auto"/>
          <w:sz w:val="24"/>
        </w:rPr>
      </w:pPr>
    </w:p>
    <w:p>
      <w:pPr>
        <w:widowControl/>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12.响应文件的印制及签署</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12.3</w:t>
      </w:r>
      <w:r>
        <w:rPr>
          <w:rFonts w:hint="eastAsia" w:ascii="仿宋" w:hAnsi="仿宋" w:eastAsia="仿宋" w:cs="仿宋"/>
          <w:b/>
          <w:bCs/>
          <w:color w:val="auto"/>
          <w:sz w:val="24"/>
        </w:rPr>
        <w:t>报价响应文件</w:t>
      </w:r>
      <w:r>
        <w:rPr>
          <w:rFonts w:hint="eastAsia" w:ascii="仿宋" w:hAnsi="仿宋" w:eastAsia="仿宋" w:cs="仿宋"/>
          <w:color w:val="auto"/>
          <w:sz w:val="24"/>
        </w:rPr>
        <w:t>1份，并在其封面上清楚地标明报价响应文件、采购项目名称、采购项目编号、包件号及名称（若有）、供应商名称。</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12.4</w:t>
      </w:r>
      <w:r>
        <w:rPr>
          <w:rFonts w:hint="eastAsia" w:ascii="仿宋" w:hAnsi="仿宋" w:eastAsia="仿宋" w:cs="仿宋"/>
          <w:b/>
          <w:bCs/>
          <w:color w:val="auto"/>
          <w:sz w:val="24"/>
        </w:rPr>
        <w:t>响应文件电子文档</w:t>
      </w:r>
      <w:r>
        <w:rPr>
          <w:rFonts w:hint="eastAsia" w:ascii="仿宋" w:hAnsi="仿宋" w:eastAsia="仿宋" w:cs="仿宋"/>
          <w:color w:val="auto"/>
          <w:sz w:val="24"/>
        </w:rPr>
        <w:t>在其封面上清楚地标明采购项目名称、采购项目编号、包件号及名称（若有）、供应商名称。</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12.5若响应文件正本与副本内容出现差异时，则以正本为准，但是以下情形除外：</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（1）当副本与正本不一致,副本中资料签字盖章内容完善、完整，并以原件呈现，完全符合采购文件各项规定要求的；</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（2）经澄清程序，供应商现场确认的。副本可用正本的影印件。</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12.6响应文件的正本必须使用不褪色、不变质的墨水书写或打印，并由供应商的法定代表人或其授权代表在规定签章处签字并盖章。响应文件副本可采用正本的影印件。</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12.7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12.8</w:t>
      </w:r>
      <w:r>
        <w:rPr>
          <w:rFonts w:hint="eastAsia" w:ascii="仿宋" w:hAnsi="仿宋" w:eastAsia="仿宋" w:cs="仿宋"/>
          <w:b/>
          <w:bCs/>
          <w:color w:val="auto"/>
          <w:sz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12.9响应文件正本和副本必须无钉左侧胶装并逐页编码，资格性响应文件和其他响应文件应分册装订。</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12.10响应文件应根据谈判文件的要求制作，签署、盖章和内容应完整。</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12.11响应文件统一用A4幅面纸印制。</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12.12响应文件电子文档须包含资格性响应文件和其他响应文件两部分，并制作为PDF格式文件，并拷贝到空白U盘中，U盘表面应标注供应商名称；供应商递交的电子文档与纸质版正本不得出现实质性不一致（如内容不齐全、模糊不清等）的任何情形。</w:t>
      </w:r>
    </w:p>
    <w:p>
      <w:pPr>
        <w:widowControl/>
        <w:spacing w:line="360" w:lineRule="auto"/>
        <w:ind w:firstLine="480"/>
        <w:rPr>
          <w:rFonts w:ascii="仿宋" w:hAnsi="仿宋" w:eastAsia="仿宋" w:cs="仿宋"/>
          <w:b/>
          <w:bCs/>
          <w:color w:val="auto"/>
          <w:sz w:val="24"/>
        </w:rPr>
      </w:pPr>
      <w:r>
        <w:rPr>
          <w:rFonts w:hint="eastAsia" w:ascii="仿宋" w:hAnsi="仿宋" w:eastAsia="仿宋" w:cs="仿宋"/>
          <w:b/>
          <w:bCs/>
          <w:color w:val="auto"/>
          <w:sz w:val="24"/>
        </w:rPr>
        <w:t>注：响应文件电子文档制作的参考方法：响应文件纸质版正本按照谈判文件要求制作完毕后（签字盖章完毕并检查无误），先按页码逐页（包括封面）进行彩色扫描，扫描完成后再将纸质版正本胶装成册，扫描形成的图像文件依序制作成一个PDF格式文件。</w:t>
      </w:r>
    </w:p>
    <w:p>
      <w:pPr>
        <w:widowControl/>
        <w:spacing w:line="360" w:lineRule="auto"/>
        <w:ind w:firstLine="480"/>
        <w:rPr>
          <w:rFonts w:ascii="仿宋" w:hAnsi="仿宋" w:eastAsia="仿宋" w:cs="仿宋"/>
          <w:b/>
          <w:bCs/>
          <w:color w:val="auto"/>
          <w:sz w:val="24"/>
        </w:rPr>
      </w:pPr>
    </w:p>
    <w:p>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13.响应文件的密封和标注</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rPr>
        <w:t>“资格性响应文件”、“其他响应文件”、“报价响应文件”</w:t>
      </w:r>
      <w:r>
        <w:rPr>
          <w:rFonts w:hint="eastAsia" w:ascii="仿宋" w:hAnsi="仿宋" w:eastAsia="仿宋" w:cs="仿宋"/>
          <w:color w:val="auto"/>
          <w:sz w:val="24"/>
        </w:rPr>
        <w:t>和</w:t>
      </w:r>
      <w:r>
        <w:rPr>
          <w:rFonts w:hint="eastAsia" w:ascii="仿宋" w:hAnsi="仿宋" w:eastAsia="仿宋" w:cs="仿宋"/>
          <w:b/>
          <w:bCs/>
          <w:color w:val="auto"/>
          <w:sz w:val="24"/>
        </w:rPr>
        <w:t>“电子文档”</w:t>
      </w:r>
      <w:r>
        <w:rPr>
          <w:rFonts w:hint="eastAsia" w:ascii="仿宋" w:hAnsi="仿宋" w:eastAsia="仿宋" w:cs="仿宋"/>
          <w:color w:val="auto"/>
          <w:sz w:val="24"/>
        </w:rPr>
        <w:t>均需单独密封。</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13.2每一密封件上应注明“于　　年　　月　　日　　时　　分之前不准启封”字样（报价响应文件除外），所有外层密封袋的封口处应粘贴牢固，并加盖密封章（供应商公章）。</w:t>
      </w:r>
    </w:p>
    <w:p>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13.3如未按以上规定密封和标记，采购代理机构对响应文件的误投或提前拆封不负责任。对由此造成提前开封的响应文件，采购代理机构将有权拒绝并退回。</w:t>
      </w:r>
    </w:p>
    <w:p>
      <w:pPr>
        <w:widowControl/>
        <w:spacing w:line="360" w:lineRule="auto"/>
        <w:ind w:firstLine="480"/>
        <w:rPr>
          <w:rFonts w:ascii="仿宋" w:hAnsi="仿宋" w:eastAsia="仿宋" w:cs="仿宋"/>
          <w:color w:val="auto"/>
          <w:sz w:val="24"/>
        </w:rPr>
      </w:pPr>
    </w:p>
    <w:p>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14.响应文件的递交</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14.1供应商应在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14.2递交响应文件时，报名供应商名称和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pPr>
        <w:widowControl/>
        <w:spacing w:line="360" w:lineRule="auto"/>
        <w:ind w:firstLine="480"/>
        <w:rPr>
          <w:rFonts w:ascii="仿宋" w:eastAsia="仿宋" w:cs="仿宋"/>
          <w:color w:val="auto"/>
          <w:sz w:val="24"/>
        </w:rPr>
      </w:pPr>
      <w:r>
        <w:rPr>
          <w:rFonts w:hint="eastAsia" w:ascii="仿宋" w:eastAsia="仿宋" w:cs="仿宋"/>
          <w:color w:val="auto"/>
          <w:sz w:val="24"/>
        </w:rPr>
        <w:t>14.3“最后报价一览表”在谈判后，由谈判小组要求供应商进行最后报价时，单独放在报价响应文件袋内密封后递交。</w:t>
      </w:r>
    </w:p>
    <w:p>
      <w:pPr>
        <w:widowControl/>
        <w:spacing w:line="360" w:lineRule="auto"/>
        <w:ind w:firstLine="480"/>
        <w:rPr>
          <w:rFonts w:ascii="仿宋" w:eastAsia="仿宋" w:cs="仿宋"/>
          <w:color w:val="auto"/>
          <w:sz w:val="24"/>
        </w:rPr>
      </w:pPr>
      <w:r>
        <w:rPr>
          <w:rFonts w:hint="eastAsia" w:ascii="仿宋" w:eastAsia="仿宋" w:cs="仿宋"/>
          <w:color w:val="auto"/>
          <w:sz w:val="24"/>
        </w:rPr>
        <w:t>14.4本次采购不接收邮寄的响应文件。</w:t>
      </w:r>
    </w:p>
    <w:p>
      <w:pPr>
        <w:pStyle w:val="2"/>
        <w:spacing w:line="360" w:lineRule="auto"/>
        <w:ind w:firstLine="480"/>
        <w:rPr>
          <w:color w:val="auto"/>
        </w:rPr>
      </w:pPr>
    </w:p>
    <w:p>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 xml:space="preserve">15.响应文件的修改和撤回 </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15.2供应商对响应文件修改的书面材料或撤销的通知应该按本章的规定进行编写、密封、标注和递送，并注明“修改”或“撤销”字样。</w:t>
      </w:r>
    </w:p>
    <w:p>
      <w:pPr>
        <w:adjustRightInd w:val="0"/>
        <w:snapToGrid w:val="0"/>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15.3供应商不得在递交截止时间起至响应文件有效期期满前撤销其响应文件，否则将认定其响应文件有效期的承诺为虚假承诺，并依法追究其法律责任。</w:t>
      </w:r>
    </w:p>
    <w:p>
      <w:pPr>
        <w:spacing w:line="360" w:lineRule="auto"/>
        <w:ind w:firstLine="480" w:firstLineChars="200"/>
        <w:rPr>
          <w:rFonts w:ascii="仿宋" w:hAnsi="仿宋" w:eastAsia="仿宋" w:cs="仿宋"/>
          <w:b/>
          <w:color w:val="auto"/>
          <w:sz w:val="24"/>
        </w:rPr>
      </w:pPr>
      <w:r>
        <w:rPr>
          <w:rFonts w:hint="eastAsia" w:ascii="仿宋" w:hAnsi="仿宋" w:eastAsia="仿宋" w:cs="仿宋"/>
          <w:bCs/>
          <w:color w:val="auto"/>
          <w:sz w:val="24"/>
        </w:rPr>
        <w:t>15.4</w:t>
      </w:r>
      <w:r>
        <w:rPr>
          <w:rFonts w:hint="eastAsia" w:ascii="仿宋" w:hAnsi="仿宋" w:eastAsia="仿宋" w:cs="仿宋"/>
          <w:color w:val="auto"/>
          <w:sz w:val="24"/>
        </w:rPr>
        <w:t>供应商对其提交的响应文件的真实性、合法性承担法律责任。</w:t>
      </w:r>
    </w:p>
    <w:p>
      <w:pPr>
        <w:pStyle w:val="6"/>
        <w:keepNext w:val="0"/>
        <w:spacing w:beforeLines="100" w:afterLines="100" w:line="360" w:lineRule="auto"/>
        <w:jc w:val="center"/>
        <w:rPr>
          <w:rFonts w:ascii="仿宋" w:hAnsi="仿宋" w:eastAsia="仿宋" w:cs="仿宋"/>
          <w:color w:val="auto"/>
          <w:sz w:val="30"/>
          <w:szCs w:val="30"/>
        </w:rPr>
      </w:pPr>
      <w:r>
        <w:rPr>
          <w:rFonts w:hint="eastAsia" w:ascii="仿宋" w:hAnsi="仿宋" w:eastAsia="仿宋" w:cs="仿宋"/>
          <w:color w:val="auto"/>
          <w:sz w:val="30"/>
          <w:szCs w:val="30"/>
        </w:rPr>
        <w:t>五、评审</w:t>
      </w:r>
    </w:p>
    <w:p>
      <w:pPr>
        <w:spacing w:beforeLines="100" w:afterLines="100" w:line="360" w:lineRule="auto"/>
        <w:ind w:firstLine="480" w:firstLineChars="200"/>
        <w:jc w:val="center"/>
        <w:rPr>
          <w:rFonts w:ascii="仿宋" w:hAnsi="仿宋" w:eastAsia="仿宋" w:cs="仿宋"/>
          <w:color w:val="auto"/>
          <w:sz w:val="30"/>
          <w:szCs w:val="30"/>
        </w:rPr>
      </w:pPr>
      <w:r>
        <w:rPr>
          <w:rFonts w:hint="eastAsia" w:ascii="仿宋" w:hAnsi="仿宋" w:eastAsia="仿宋" w:cs="仿宋"/>
          <w:color w:val="auto"/>
          <w:sz w:val="24"/>
        </w:rPr>
        <w:t>谈判小组的组建及其评审工作按照有关法律制度和本文件第八章的规定进行。</w:t>
      </w:r>
    </w:p>
    <w:p>
      <w:pPr>
        <w:pStyle w:val="6"/>
        <w:keepNext w:val="0"/>
        <w:spacing w:beforeLines="100" w:afterLines="100" w:line="360" w:lineRule="auto"/>
        <w:jc w:val="center"/>
        <w:rPr>
          <w:rFonts w:ascii="仿宋" w:hAnsi="仿宋" w:eastAsia="仿宋" w:cs="仿宋"/>
          <w:color w:val="auto"/>
          <w:sz w:val="30"/>
          <w:szCs w:val="30"/>
        </w:rPr>
      </w:pPr>
      <w:r>
        <w:rPr>
          <w:rFonts w:hint="eastAsia" w:ascii="仿宋" w:hAnsi="仿宋" w:eastAsia="仿宋" w:cs="仿宋"/>
          <w:color w:val="auto"/>
          <w:sz w:val="30"/>
          <w:szCs w:val="30"/>
        </w:rPr>
        <w:t>六、成交</w:t>
      </w: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16.确定成交供应商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16.1确定成交供应商方式</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（2）由采购人授权谈判小组确定成交供应商。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bCs/>
          <w:color w:val="auto"/>
          <w:sz w:val="24"/>
        </w:rPr>
        <w:t>本项目采用第（1）种方式确定成交供应商。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w:t>
      </w:r>
      <w:r>
        <w:rPr>
          <w:rFonts w:ascii="仿宋" w:hAnsi="仿宋" w:eastAsia="仿宋" w:cs="仿宋"/>
          <w:color w:val="auto"/>
          <w:sz w:val="24"/>
        </w:rPr>
        <w:t>.</w:t>
      </w:r>
      <w:r>
        <w:rPr>
          <w:rFonts w:hint="eastAsia" w:ascii="仿宋" w:hAnsi="仿宋" w:eastAsia="仿宋" w:cs="仿宋"/>
          <w:color w:val="auto"/>
          <w:sz w:val="24"/>
        </w:rPr>
        <w:t>2采购人确定成交供应商过程中，发现成交候选供应商有下列情形之一的，不予确定其为成交供应商：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）成交候选供应商属于禁止参加本项目采购活动的；</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）成交候选供应商因不可抗力，不能继续参加政府采购活动；</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）成交候选供应商无偿赠与或者低于成本价竞争；</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）成交候选供应商提供虚假材料；</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）成交候选供应商恶意串通。</w:t>
      </w:r>
    </w:p>
    <w:p>
      <w:pPr>
        <w:spacing w:line="360" w:lineRule="auto"/>
        <w:ind w:firstLine="48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pPr>
        <w:spacing w:line="360" w:lineRule="auto"/>
        <w:ind w:firstLine="480" w:firstLineChars="200"/>
        <w:rPr>
          <w:rFonts w:ascii="仿宋" w:hAnsi="仿宋" w:eastAsia="仿宋" w:cs="仿宋"/>
          <w:color w:val="auto"/>
          <w:sz w:val="24"/>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rPr>
        <w:t>17.成交结果</w:t>
      </w:r>
    </w:p>
    <w:p>
      <w:pPr>
        <w:spacing w:line="360" w:lineRule="auto"/>
        <w:ind w:firstLine="480"/>
        <w:rPr>
          <w:rFonts w:ascii="仿宋" w:hAnsi="仿宋" w:eastAsia="仿宋"/>
          <w:color w:val="auto"/>
          <w:sz w:val="24"/>
        </w:rPr>
      </w:pPr>
      <w:r>
        <w:rPr>
          <w:rFonts w:hint="eastAsia" w:ascii="仿宋" w:hAnsi="仿宋" w:eastAsia="仿宋" w:cs="仿宋"/>
          <w:color w:val="auto"/>
          <w:sz w:val="24"/>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采购代理机构将根据确定的成交供应商发布成交结果公告，并电话通知成交供应商，同时向成交供应商发出成交通知书。</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pPr>
        <w:spacing w:line="360" w:lineRule="auto"/>
        <w:ind w:firstLine="465"/>
        <w:rPr>
          <w:rFonts w:ascii="仿宋" w:hAnsi="仿宋" w:eastAsia="仿宋"/>
          <w:color w:val="auto"/>
          <w:sz w:val="24"/>
        </w:rPr>
      </w:pPr>
      <w:r>
        <w:rPr>
          <w:rFonts w:hint="eastAsia" w:ascii="仿宋" w:hAnsi="仿宋" w:eastAsia="仿宋" w:cs="仿宋"/>
          <w:color w:val="auto"/>
          <w:sz w:val="24"/>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成交供应商不能及时领取成交通知书，采购人或者采购代理机构应当通过邮寄、快递等方式将项目成交通知书送达成交供应商。</w:t>
      </w:r>
    </w:p>
    <w:p>
      <w:pPr>
        <w:spacing w:line="360" w:lineRule="auto"/>
        <w:ind w:firstLine="480"/>
        <w:rPr>
          <w:rFonts w:ascii="仿宋" w:hAnsi="仿宋" w:eastAsia="仿宋" w:cs="仿宋"/>
          <w:bCs/>
          <w:color w:val="auto"/>
          <w:sz w:val="24"/>
        </w:rPr>
      </w:pPr>
      <w:r>
        <w:rPr>
          <w:rFonts w:hint="eastAsia" w:ascii="仿宋" w:hAnsi="仿宋" w:eastAsia="仿宋" w:cs="仿宋"/>
          <w:color w:val="auto"/>
          <w:sz w:val="24"/>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采购单位不解释成交或未成交原因，不退回响应文件和其他响应资料。</w:t>
      </w:r>
    </w:p>
    <w:p>
      <w:pPr>
        <w:spacing w:line="360" w:lineRule="auto"/>
        <w:ind w:firstLine="480"/>
        <w:rPr>
          <w:rFonts w:ascii="仿宋" w:hAnsi="仿宋" w:eastAsia="仿宋"/>
          <w:color w:val="auto"/>
          <w:sz w:val="24"/>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rPr>
        <w:t>18.成交通知书</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18</w:t>
      </w:r>
      <w:r>
        <w:rPr>
          <w:rFonts w:ascii="仿宋" w:hAnsi="仿宋" w:eastAsia="仿宋" w:cs="仿宋"/>
          <w:color w:val="auto"/>
          <w:sz w:val="24"/>
        </w:rPr>
        <w:t>.1</w:t>
      </w:r>
      <w:r>
        <w:rPr>
          <w:rFonts w:hint="eastAsia" w:ascii="仿宋" w:hAnsi="仿宋" w:eastAsia="仿宋" w:cs="仿宋"/>
          <w:color w:val="auto"/>
          <w:sz w:val="24"/>
        </w:rPr>
        <w:t>成交通知书为签订采购合同的依据之一，是合同的有效组成部分。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18</w:t>
      </w:r>
      <w:r>
        <w:rPr>
          <w:rFonts w:ascii="仿宋" w:hAnsi="仿宋" w:eastAsia="仿宋" w:cs="仿宋"/>
          <w:color w:val="auto"/>
          <w:sz w:val="24"/>
        </w:rPr>
        <w:t>.2</w:t>
      </w:r>
      <w:r>
        <w:rPr>
          <w:rFonts w:hint="eastAsia" w:ascii="仿宋" w:hAnsi="仿宋" w:eastAsia="仿宋" w:cs="仿宋"/>
          <w:color w:val="auto"/>
          <w:sz w:val="24"/>
        </w:rPr>
        <w:t>成交通知书对采购人和成交供应商均具有法律效力。成交通知书发出后，采购人无正当理由改变成交结果，或者成交供应商无正当理由放弃成交的，将承担相应的法律责任。</w:t>
      </w:r>
    </w:p>
    <w:p>
      <w:pPr>
        <w:spacing w:line="360" w:lineRule="auto"/>
        <w:ind w:firstLine="480" w:firstLineChars="200"/>
        <w:rPr>
          <w:rFonts w:ascii="仿宋" w:hAnsi="仿宋" w:eastAsia="仿宋"/>
          <w:bCs/>
          <w:color w:val="auto"/>
          <w:sz w:val="24"/>
        </w:rPr>
      </w:pPr>
      <w:r>
        <w:rPr>
          <w:rFonts w:hint="eastAsia" w:ascii="仿宋" w:eastAsia="仿宋" w:cs="仿宋"/>
          <w:bCs/>
          <w:color w:val="auto"/>
          <w:sz w:val="24"/>
        </w:rPr>
        <w:t>18</w:t>
      </w:r>
      <w:r>
        <w:rPr>
          <w:rFonts w:ascii="仿宋" w:eastAsia="仿宋" w:cs="仿宋"/>
          <w:bCs/>
          <w:color w:val="auto"/>
          <w:sz w:val="24"/>
        </w:rPr>
        <w:t>.3</w:t>
      </w:r>
      <w:r>
        <w:rPr>
          <w:rFonts w:hint="eastAsia" w:ascii="仿宋" w:eastAsia="仿宋" w:cs="仿宋"/>
          <w:bCs/>
          <w:color w:val="auto"/>
          <w:sz w:val="24"/>
        </w:rPr>
        <w:t>成交供应商的响应文件作为无效响应文件处理或者有政府采购法律法规规章制度规定的成交无效情形的，采购人或采购代理机构在取得有权主体的认定以后，有权宣布发出的成交通知书无效，并收回发出的成交通知书，依法重新确定成交供应商或者重新开展采购活动。</w:t>
      </w:r>
    </w:p>
    <w:p>
      <w:pPr>
        <w:spacing w:beforeLines="10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19.签订合同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19.1成交供应商在收到成交通知书后，应在规定的时间内与采购人签订采购合同。由于成交供应商的原因逾期未与采购人签订采购合同的，将视为放弃成交，取消其成交资格并将按相关规定进行处理；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19.2采购人不得向成交供应商提出任何不合理的要求，作为签订合同的条件，不得与成交供应商私下订立背离合同实质性内容的任何协议，所签订的合同不得对竞争性谈判文件和成交供应商响应文件作实质性修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19.3成交供应商因不可抗力原因不能履行采购合同或放弃成交的，采购人可以与排在成交供应商之后第一位的成交候选人签订采购合同，以此类推；</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19.5成交供应商在合同签订之后3个工作日内，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19.6竞争性谈判文件、成交供应商提交的响应文件、谈判中的最后报价、成交供应商承诺书、成交通知书等均称为有法律约束力的合同组成内容。</w:t>
      </w:r>
    </w:p>
    <w:p>
      <w:pPr>
        <w:spacing w:line="360" w:lineRule="auto"/>
        <w:ind w:firstLine="482" w:firstLineChars="200"/>
        <w:rPr>
          <w:rFonts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20.合同分包（实质性要求）</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20.1本项目合同接受分包与否，以“供应商须知附表”要求为准。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20.2允许分包的，经采购人同意，成交供应商可以将非主体、非关键性工作依法采取分包方式履行合同，但必须在响应文件中事前载明。这种要求应当在合同签订之前征得采购人同意，并且分包供应商履行的分包项目的品牌、规格型号及技术要求等，必须与成交的一致；未经采购人同意，成交供应商不得分包。</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20.3采购合同分包履行的，成交供应商就采购项目和分包项目向采购人负责，分包供应商就分包项目承担责任。</w:t>
      </w:r>
    </w:p>
    <w:p>
      <w:pPr>
        <w:spacing w:line="360" w:lineRule="auto"/>
        <w:rPr>
          <w:rFonts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21.合同转包（实质性要求）</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21.1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21.2成交供应商转包的，视同拒绝履行采购合同义务，将依法追究法律责任。</w:t>
      </w:r>
    </w:p>
    <w:p>
      <w:pPr>
        <w:spacing w:line="360" w:lineRule="auto"/>
        <w:ind w:firstLine="480"/>
        <w:rPr>
          <w:color w:val="auto"/>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22.补充合同</w:t>
      </w:r>
    </w:p>
    <w:p>
      <w:pPr>
        <w:spacing w:line="360" w:lineRule="auto"/>
        <w:ind w:firstLine="492"/>
        <w:rPr>
          <w:rFonts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采购合同履行过程中，采购人需要追加与合同标的相同的货物或者服务的，在不改变合同其他条款的前提下，可以与成交供应商协商签订补充合同，</w:t>
      </w:r>
      <w:r>
        <w:rPr>
          <w:rFonts w:hint="eastAsia" w:ascii="仿宋" w:hAnsi="仿宋" w:eastAsia="仿宋" w:cs="仿宋"/>
          <w:color w:val="auto"/>
          <w:sz w:val="24"/>
        </w:rPr>
        <w:t>但所有补充合同的采购金额不得超过原合同采购金额的</w:t>
      </w:r>
      <w:r>
        <w:rPr>
          <w:rFonts w:hint="eastAsia" w:ascii="仿宋" w:hAnsi="仿宋" w:eastAsia="仿宋" w:cs="仿宋"/>
          <w:bCs/>
          <w:color w:val="auto"/>
          <w:sz w:val="24"/>
        </w:rPr>
        <w:t>10%</w:t>
      </w:r>
      <w:r>
        <w:rPr>
          <w:rFonts w:hint="eastAsia" w:ascii="仿宋" w:hAnsi="仿宋" w:eastAsia="仿宋" w:cs="仿宋"/>
          <w:color w:val="auto"/>
          <w:sz w:val="24"/>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pPr>
        <w:spacing w:line="360" w:lineRule="auto"/>
        <w:ind w:firstLine="492"/>
        <w:rPr>
          <w:color w:val="auto"/>
        </w:rPr>
      </w:pPr>
    </w:p>
    <w:p>
      <w:pPr>
        <w:spacing w:line="360" w:lineRule="auto"/>
        <w:ind w:firstLine="482" w:firstLineChars="200"/>
        <w:rPr>
          <w:rFonts w:ascii="仿宋" w:eastAsia="仿宋" w:cs="仿宋"/>
          <w:bCs/>
          <w:color w:val="auto"/>
          <w:sz w:val="24"/>
        </w:rPr>
      </w:pPr>
      <w:r>
        <w:rPr>
          <w:rFonts w:hint="eastAsia" w:ascii="仿宋" w:hAnsi="仿宋" w:eastAsia="仿宋" w:cs="仿宋"/>
          <w:b/>
          <w:color w:val="auto"/>
          <w:sz w:val="24"/>
        </w:rPr>
        <w:t>23.履约保证金（实质性要求）</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23</w:t>
      </w:r>
      <w:r>
        <w:rPr>
          <w:rFonts w:ascii="仿宋" w:hAnsi="仿宋" w:eastAsia="仿宋" w:cs="仿宋"/>
          <w:color w:val="auto"/>
          <w:sz w:val="24"/>
        </w:rPr>
        <w:t>.1</w:t>
      </w:r>
      <w:r>
        <w:rPr>
          <w:rFonts w:hint="eastAsia" w:ascii="仿宋" w:hAnsi="仿宋" w:eastAsia="仿宋" w:cs="仿宋"/>
          <w:bCs/>
          <w:color w:val="auto"/>
          <w:sz w:val="24"/>
        </w:rPr>
        <w:t>如</w:t>
      </w:r>
      <w:r>
        <w:rPr>
          <w:rFonts w:hint="eastAsia" w:ascii="仿宋" w:hAnsi="仿宋" w:eastAsia="仿宋" w:cs="仿宋"/>
          <w:color w:val="auto"/>
          <w:sz w:val="24"/>
        </w:rPr>
        <w:t>竞争性谈判</w:t>
      </w:r>
      <w:r>
        <w:rPr>
          <w:rFonts w:hint="eastAsia" w:ascii="仿宋" w:hAnsi="仿宋" w:eastAsia="仿宋" w:cs="仿宋"/>
          <w:bCs/>
          <w:color w:val="auto"/>
          <w:sz w:val="24"/>
        </w:rPr>
        <w:t>文件要求需要缴纳履约保证金的，</w:t>
      </w:r>
      <w:r>
        <w:rPr>
          <w:rFonts w:hint="eastAsia" w:ascii="仿宋" w:hAnsi="仿宋" w:eastAsia="仿宋" w:cs="仿宋"/>
          <w:color w:val="auto"/>
          <w:sz w:val="24"/>
        </w:rPr>
        <w:t>成交供应商应在合同签订之前交纳竞争性谈判文件规定数额的履约保证金。</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pPr>
        <w:spacing w:line="360" w:lineRule="auto"/>
        <w:ind w:firstLine="480" w:firstLineChars="200"/>
        <w:rPr>
          <w:rFonts w:ascii="仿宋" w:eastAsia="仿宋" w:cs="仿宋"/>
          <w:bCs/>
          <w:color w:val="auto"/>
          <w:sz w:val="24"/>
        </w:rPr>
      </w:pPr>
      <w:r>
        <w:rPr>
          <w:rFonts w:hint="eastAsia" w:ascii="仿宋" w:eastAsia="仿宋" w:cs="仿宋"/>
          <w:bCs/>
          <w:color w:val="auto"/>
          <w:sz w:val="24"/>
        </w:rPr>
        <w:t>23.3成交供应商自行选择以支票、汇票、本票或者金融机构、担保机构出具的保函等非现金形式缴纳履约保证金。</w:t>
      </w:r>
    </w:p>
    <w:p>
      <w:pPr>
        <w:pStyle w:val="2"/>
        <w:spacing w:line="360" w:lineRule="auto"/>
        <w:ind w:firstLine="360" w:firstLineChars="200"/>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24.履行合同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24.1成交供应</w:t>
      </w:r>
      <w:r>
        <w:rPr>
          <w:rFonts w:hint="eastAsia" w:ascii="仿宋" w:hAnsi="仿宋" w:eastAsia="仿宋" w:cs="仿宋"/>
          <w:color w:val="auto"/>
          <w:sz w:val="24"/>
        </w:rPr>
        <w:t>商与采购</w:t>
      </w:r>
      <w:r>
        <w:rPr>
          <w:rFonts w:hint="eastAsia" w:ascii="仿宋" w:hAnsi="仿宋" w:eastAsia="仿宋" w:cs="仿宋"/>
          <w:bCs/>
          <w:color w:val="auto"/>
          <w:sz w:val="24"/>
        </w:rPr>
        <w:t>人签订合同后，合同双方应严格执行合同条款，履行合同规定的义务，保证合同的顺利完成；</w:t>
      </w:r>
    </w:p>
    <w:p>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24.2在合同履行过程中，如发生合同纠纷，合同双方应按照《</w:t>
      </w:r>
      <w:r>
        <w:rPr>
          <w:rFonts w:hint="eastAsia" w:ascii="仿宋" w:hAnsi="仿宋" w:eastAsia="仿宋" w:cs="仿宋"/>
          <w:bCs/>
          <w:color w:val="auto"/>
          <w:sz w:val="24"/>
          <w:lang w:val="zh-CN"/>
        </w:rPr>
        <w:t>中华人民共和国</w:t>
      </w:r>
      <w:r>
        <w:rPr>
          <w:rFonts w:hint="eastAsia" w:ascii="仿宋" w:hAnsi="仿宋" w:eastAsia="仿宋" w:cs="仿宋"/>
          <w:bCs/>
          <w:color w:val="auto"/>
          <w:sz w:val="24"/>
        </w:rPr>
        <w:t>民法典》的有关规定进行处理。</w:t>
      </w:r>
    </w:p>
    <w:p>
      <w:pPr>
        <w:spacing w:line="360" w:lineRule="auto"/>
        <w:ind w:firstLine="482"/>
        <w:rPr>
          <w:color w:val="auto"/>
        </w:rPr>
      </w:pPr>
    </w:p>
    <w:p>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rPr>
        <w:t>25.</w:t>
      </w:r>
      <w:r>
        <w:rPr>
          <w:rFonts w:hint="eastAsia" w:ascii="仿宋" w:hAnsi="仿宋" w:eastAsia="仿宋" w:cs="仿宋"/>
          <w:b/>
          <w:color w:val="auto"/>
          <w:sz w:val="24"/>
        </w:rPr>
        <w:t>验收</w:t>
      </w:r>
    </w:p>
    <w:p>
      <w:pPr>
        <w:spacing w:line="360" w:lineRule="auto"/>
        <w:ind w:firstLine="491"/>
        <w:rPr>
          <w:rFonts w:ascii="仿宋" w:eastAsia="仿宋" w:cs="仿宋"/>
          <w:bCs/>
          <w:color w:val="auto"/>
          <w:sz w:val="24"/>
        </w:rPr>
      </w:pPr>
      <w:r>
        <w:rPr>
          <w:rFonts w:hint="eastAsia" w:ascii="仿宋" w:eastAsia="仿宋" w:cs="仿宋"/>
          <w:bCs/>
          <w:color w:val="auto"/>
          <w:sz w:val="24"/>
        </w:rPr>
        <w:t>25.1</w:t>
      </w:r>
      <w:r>
        <w:rPr>
          <w:rFonts w:hint="eastAsia" w:ascii="仿宋" w:eastAsia="仿宋" w:cs="仿宋"/>
          <w:bCs/>
          <w:color w:val="auto"/>
          <w:sz w:val="24"/>
          <w:lang w:val="zh-CN"/>
        </w:rPr>
        <w:t>采购人参照《财政部关于进一步加强政府采购需求和履约验收管理的指导意见》（财库〔2016〕205号）的规定进行验收</w:t>
      </w:r>
      <w:r>
        <w:rPr>
          <w:rFonts w:hint="eastAsia" w:ascii="仿宋" w:eastAsia="仿宋" w:cs="仿宋"/>
          <w:bCs/>
          <w:color w:val="auto"/>
          <w:sz w:val="24"/>
        </w:rPr>
        <w:t>。</w:t>
      </w:r>
    </w:p>
    <w:p>
      <w:pPr>
        <w:spacing w:line="360" w:lineRule="auto"/>
        <w:ind w:firstLine="491"/>
        <w:rPr>
          <w:rFonts w:ascii="仿宋" w:eastAsia="仿宋" w:cs="仿宋"/>
          <w:bCs/>
          <w:color w:val="auto"/>
          <w:sz w:val="24"/>
        </w:rPr>
      </w:pPr>
      <w:r>
        <w:rPr>
          <w:rFonts w:hint="eastAsia" w:ascii="仿宋" w:eastAsia="仿宋" w:cs="仿宋"/>
          <w:bCs/>
          <w:color w:val="auto"/>
          <w:sz w:val="24"/>
        </w:rPr>
        <w:t>25.2验收结果合格的，成交供应商</w:t>
      </w:r>
      <w:r>
        <w:rPr>
          <w:rFonts w:hint="eastAsia" w:ascii="仿宋" w:hAnsi="仿宋" w:eastAsia="仿宋" w:cs="仿宋"/>
          <w:color w:val="auto"/>
          <w:sz w:val="24"/>
        </w:rPr>
        <w:t>凭验收报告办理相关手续；</w:t>
      </w:r>
      <w:r>
        <w:rPr>
          <w:rFonts w:hint="eastAsia" w:ascii="仿宋" w:eastAsia="仿宋" w:cs="仿宋"/>
          <w:bCs/>
          <w:color w:val="auto"/>
          <w:sz w:val="24"/>
        </w:rPr>
        <w:t>验收结果不合格的，履约保证金将不予退还，也将不予支付采购资金。</w:t>
      </w:r>
    </w:p>
    <w:p>
      <w:pPr>
        <w:spacing w:line="360" w:lineRule="auto"/>
        <w:ind w:firstLine="491"/>
        <w:rPr>
          <w:rFonts w:ascii="仿宋" w:hAnsi="仿宋" w:eastAsia="仿宋" w:cs="仿宋"/>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26.资金支付</w:t>
      </w:r>
    </w:p>
    <w:p>
      <w:pPr>
        <w:spacing w:line="360" w:lineRule="auto"/>
        <w:ind w:firstLine="491"/>
        <w:rPr>
          <w:rFonts w:ascii="仿宋" w:eastAsia="仿宋" w:cs="仿宋"/>
          <w:bCs/>
          <w:color w:val="auto"/>
          <w:sz w:val="24"/>
        </w:rPr>
      </w:pPr>
      <w:r>
        <w:rPr>
          <w:rFonts w:hint="eastAsia" w:ascii="仿宋"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pPr>
        <w:spacing w:beforeLines="100"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27.供应商不得具有的情形</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（1）提供虚假材料谋取成交；</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（9）提供假冒伪劣产品；</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（12）法律法规规定的其他情形。</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pPr>
        <w:spacing w:line="360" w:lineRule="auto"/>
        <w:ind w:firstLine="482" w:firstLineChars="200"/>
        <w:rPr>
          <w:rFonts w:ascii="仿宋" w:hAnsi="仿宋" w:eastAsia="仿宋" w:cs="仿宋"/>
          <w:b/>
          <w:color w:val="auto"/>
          <w:sz w:val="24"/>
        </w:rPr>
      </w:pP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28.保密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28.1不得透露有关购买谈判文件的潜在供应商的任何情况。</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28.2有关响应文件的审查、澄清、评估和比较以及合同授予意向等情况都不得对外透露。</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28.3供应商不得以任何方式干扰评审活动，否则其报价无效并追究其法律责任。</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28.4采购代理机构将指定专人负责评审过程中的全部联系工作。</w:t>
      </w:r>
    </w:p>
    <w:p>
      <w:pPr>
        <w:spacing w:beforeLines="10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八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18" w:name="_Toc20206"/>
      <w:bookmarkStart w:id="19" w:name="_Toc28047"/>
      <w:bookmarkStart w:id="20" w:name="_Toc32389"/>
    </w:p>
    <w:p>
      <w:pPr>
        <w:spacing w:before="100" w:beforeAutospacing="1" w:after="50" w:line="360" w:lineRule="auto"/>
        <w:rPr>
          <w:rFonts w:ascii="仿宋" w:hAnsi="仿宋" w:eastAsia="仿宋" w:cs="仿宋"/>
          <w:b/>
          <w:bCs/>
          <w:color w:val="auto"/>
          <w:sz w:val="36"/>
          <w:szCs w:val="36"/>
        </w:rPr>
        <w:sectPr>
          <w:pgSz w:w="11850" w:h="16783"/>
          <w:pgMar w:top="1440" w:right="1531" w:bottom="1440" w:left="1644" w:header="851" w:footer="992" w:gutter="0"/>
          <w:cols w:space="720" w:num="1"/>
          <w:docGrid w:linePitch="312" w:charSpace="0"/>
        </w:sectPr>
      </w:pPr>
    </w:p>
    <w:p>
      <w:pPr>
        <w:pStyle w:val="25"/>
        <w:snapToGrid w:val="0"/>
        <w:spacing w:beforeLines="50" w:afterLines="100" w:line="360" w:lineRule="auto"/>
        <w:jc w:val="center"/>
        <w:outlineLvl w:val="0"/>
        <w:rPr>
          <w:rFonts w:ascii="仿宋" w:hAnsi="仿宋" w:eastAsia="仿宋" w:cs="仿宋"/>
          <w:bCs/>
          <w:color w:val="auto"/>
        </w:rPr>
      </w:pPr>
      <w:bookmarkStart w:id="21" w:name="_Toc11322"/>
      <w:bookmarkStart w:id="22" w:name="_Toc7520"/>
      <w:bookmarkStart w:id="23" w:name="_Toc1630"/>
      <w:r>
        <w:rPr>
          <w:rFonts w:hint="eastAsia" w:ascii="仿宋" w:hAnsi="仿宋" w:eastAsia="仿宋" w:cs="仿宋"/>
          <w:b/>
          <w:bCs/>
          <w:color w:val="auto"/>
          <w:kern w:val="2"/>
          <w:sz w:val="36"/>
          <w:szCs w:val="36"/>
        </w:rPr>
        <w:t>第三章供应商的资格条件要求</w:t>
      </w:r>
      <w:bookmarkEnd w:id="18"/>
      <w:bookmarkEnd w:id="19"/>
      <w:bookmarkEnd w:id="20"/>
      <w:bookmarkEnd w:id="21"/>
      <w:bookmarkEnd w:id="22"/>
      <w:bookmarkEnd w:id="23"/>
    </w:p>
    <w:p>
      <w:pPr>
        <w:snapToGrid w:val="0"/>
        <w:spacing w:line="360" w:lineRule="auto"/>
        <w:ind w:firstLine="482" w:firstLineChars="200"/>
        <w:outlineLvl w:val="1"/>
        <w:rPr>
          <w:rFonts w:ascii="仿宋" w:hAnsi="仿宋" w:eastAsia="仿宋" w:cs="仿宋"/>
          <w:b/>
          <w:color w:val="auto"/>
          <w:sz w:val="24"/>
        </w:rPr>
      </w:pPr>
      <w:r>
        <w:rPr>
          <w:rFonts w:hint="eastAsia" w:ascii="仿宋" w:hAnsi="仿宋" w:eastAsia="仿宋" w:cs="仿宋"/>
          <w:b/>
          <w:color w:val="auto"/>
          <w:sz w:val="24"/>
        </w:rPr>
        <w:t>一、供应商应具备下列资格条件</w:t>
      </w:r>
    </w:p>
    <w:p>
      <w:pPr>
        <w:snapToGrid w:val="0"/>
        <w:spacing w:line="360" w:lineRule="auto"/>
        <w:ind w:firstLine="482" w:firstLineChars="200"/>
        <w:outlineLvl w:val="2"/>
        <w:rPr>
          <w:rFonts w:ascii="仿宋" w:hAnsi="仿宋" w:eastAsia="仿宋" w:cs="仿宋"/>
          <w:b/>
          <w:color w:val="auto"/>
          <w:sz w:val="24"/>
        </w:rPr>
      </w:pPr>
      <w:r>
        <w:rPr>
          <w:rFonts w:hint="eastAsia" w:ascii="仿宋" w:hAnsi="仿宋" w:eastAsia="仿宋" w:cs="仿宋"/>
          <w:b/>
          <w:color w:val="auto"/>
          <w:sz w:val="24"/>
        </w:rPr>
        <w:t>（一）满足本项目要求的基本资格条件</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1、具有独立承担民事责任的能力；</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2、具有良好的商业信誉和健全的财务会计制度；</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3、具有履行合同所必需的设备和专业技术能力；</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4、有依法缴纳税收和社会保障资金的良好记录；</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5、参加本次项目采购活动前三年内，在经营活动中没有重大违法记录；</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6、法律、行政法规规定的其他条件。</w:t>
      </w:r>
    </w:p>
    <w:p>
      <w:pPr>
        <w:spacing w:line="360" w:lineRule="auto"/>
        <w:ind w:firstLine="480"/>
        <w:outlineLvl w:val="2"/>
        <w:rPr>
          <w:rFonts w:ascii="仿宋" w:hAnsi="仿宋" w:eastAsia="仿宋" w:cs="仿宋"/>
          <w:b/>
          <w:color w:val="auto"/>
          <w:sz w:val="24"/>
        </w:rPr>
      </w:pPr>
      <w:r>
        <w:rPr>
          <w:rFonts w:hint="eastAsia" w:ascii="仿宋" w:hAnsi="仿宋" w:eastAsia="仿宋" w:cs="仿宋"/>
          <w:b/>
          <w:color w:val="auto"/>
          <w:sz w:val="24"/>
        </w:rPr>
        <w:t>（二）满足本项目要求的特定资格条件</w:t>
      </w:r>
    </w:p>
    <w:p>
      <w:pPr>
        <w:spacing w:line="360" w:lineRule="auto"/>
        <w:ind w:firstLine="420" w:firstLineChars="200"/>
        <w:rPr>
          <w:rFonts w:ascii="仿宋" w:hAnsi="仿宋" w:cs="仿宋"/>
          <w:bCs/>
          <w:color w:val="auto"/>
          <w:sz w:val="24"/>
        </w:rPr>
      </w:pPr>
      <w:r>
        <w:rPr>
          <w:rFonts w:hint="eastAsia"/>
          <w:color w:val="auto"/>
        </w:rPr>
        <w:t>无。</w:t>
      </w:r>
    </w:p>
    <w:p>
      <w:pPr>
        <w:pStyle w:val="2"/>
        <w:rPr>
          <w:color w:val="auto"/>
        </w:rPr>
      </w:pPr>
    </w:p>
    <w:p>
      <w:pPr>
        <w:spacing w:line="360" w:lineRule="auto"/>
        <w:ind w:firstLine="420" w:firstLineChars="200"/>
        <w:rPr>
          <w:color w:val="auto"/>
        </w:rPr>
      </w:pPr>
    </w:p>
    <w:p>
      <w:pPr>
        <w:snapToGrid w:val="0"/>
        <w:spacing w:line="360" w:lineRule="auto"/>
        <w:ind w:firstLine="482" w:firstLineChars="200"/>
        <w:outlineLvl w:val="1"/>
        <w:rPr>
          <w:rFonts w:ascii="仿宋" w:hAnsi="仿宋" w:eastAsia="仿宋" w:cs="仿宋"/>
          <w:b/>
          <w:color w:val="auto"/>
          <w:sz w:val="24"/>
        </w:rPr>
      </w:pPr>
      <w:r>
        <w:rPr>
          <w:rFonts w:hint="eastAsia" w:ascii="仿宋" w:hAnsi="仿宋" w:eastAsia="仿宋" w:cs="仿宋"/>
          <w:b/>
          <w:color w:val="auto"/>
          <w:sz w:val="24"/>
        </w:rPr>
        <w:t>二、满足本项目的其他具有类似效力的要求</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供应商代表为供应商法定代表人或其授权参加本次谈判活动的合法代表。</w:t>
      </w:r>
    </w:p>
    <w:p>
      <w:pPr>
        <w:spacing w:line="360" w:lineRule="auto"/>
        <w:rPr>
          <w:color w:val="auto"/>
        </w:rPr>
      </w:pPr>
    </w:p>
    <w:p>
      <w:pPr>
        <w:spacing w:line="360" w:lineRule="auto"/>
        <w:rPr>
          <w:color w:val="auto"/>
        </w:rPr>
      </w:pPr>
    </w:p>
    <w:p>
      <w:pPr>
        <w:pStyle w:val="2"/>
        <w:spacing w:line="360" w:lineRule="auto"/>
        <w:rPr>
          <w:color w:val="auto"/>
        </w:rPr>
      </w:pPr>
    </w:p>
    <w:p>
      <w:pPr>
        <w:pStyle w:val="87"/>
        <w:ind w:firstLine="0" w:firstLineChars="0"/>
        <w:rPr>
          <w:rFonts w:ascii="仿宋" w:hAnsi="仿宋" w:eastAsia="仿宋" w:cs="仿宋"/>
          <w:b/>
          <w:bCs/>
          <w:color w:val="auto"/>
          <w:sz w:val="24"/>
        </w:rPr>
      </w:pPr>
      <w:r>
        <w:rPr>
          <w:rFonts w:hint="eastAsia" w:ascii="仿宋" w:hAnsi="仿宋" w:eastAsia="仿宋" w:cs="仿宋"/>
          <w:b/>
          <w:bCs/>
          <w:color w:val="auto"/>
          <w:sz w:val="24"/>
        </w:rPr>
        <w:t>注：1.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pPr>
        <w:pStyle w:val="2"/>
        <w:spacing w:line="360" w:lineRule="auto"/>
        <w:ind w:firstLine="482" w:firstLineChars="200"/>
        <w:rPr>
          <w:rFonts w:ascii="仿宋" w:hAnsi="仿宋" w:eastAsia="仿宋" w:cs="仿宋"/>
          <w:b/>
          <w:color w:val="auto"/>
          <w:sz w:val="24"/>
        </w:rPr>
        <w:sectPr>
          <w:pgSz w:w="11850" w:h="16783"/>
          <w:pgMar w:top="1440" w:right="1531" w:bottom="1440" w:left="1644" w:header="851" w:footer="992" w:gutter="0"/>
          <w:cols w:space="720" w:num="1"/>
          <w:docGrid w:linePitch="312" w:charSpace="0"/>
        </w:sectPr>
      </w:pPr>
      <w:r>
        <w:rPr>
          <w:rFonts w:hint="eastAsia" w:ascii="仿宋" w:hAnsi="仿宋" w:eastAsia="仿宋" w:cs="仿宋"/>
          <w:b/>
          <w:bCs w:val="0"/>
          <w:color w:val="auto"/>
          <w:sz w:val="24"/>
        </w:rPr>
        <w:t>2.</w:t>
      </w:r>
      <w:r>
        <w:rPr>
          <w:rFonts w:hint="eastAsia" w:ascii="仿宋" w:hAnsi="仿宋" w:eastAsia="仿宋" w:cs="仿宋"/>
          <w:b/>
          <w:color w:val="auto"/>
          <w:sz w:val="24"/>
        </w:rPr>
        <w:t>供应商若不符合第二章供应商须知前附表“信用记录查询及使用”或“充分、公平竞争保障措施”规定，视为资格审查不通过。</w:t>
      </w:r>
    </w:p>
    <w:p>
      <w:pPr>
        <w:spacing w:beforeLines="50" w:afterLines="100"/>
        <w:jc w:val="center"/>
        <w:outlineLvl w:val="0"/>
        <w:rPr>
          <w:rFonts w:ascii="仿宋" w:hAnsi="仿宋" w:eastAsia="仿宋" w:cs="仿宋"/>
          <w:b/>
          <w:bCs/>
          <w:color w:val="auto"/>
          <w:sz w:val="36"/>
          <w:szCs w:val="36"/>
        </w:rPr>
      </w:pPr>
      <w:bookmarkStart w:id="24" w:name="_Toc3076"/>
      <w:bookmarkStart w:id="25" w:name="_Toc24325"/>
      <w:bookmarkStart w:id="26" w:name="_Toc22893"/>
      <w:bookmarkStart w:id="27" w:name="_Toc21415"/>
      <w:bookmarkStart w:id="28" w:name="_Toc14481"/>
      <w:r>
        <w:rPr>
          <w:rFonts w:hint="eastAsia" w:ascii="仿宋" w:hAnsi="仿宋" w:eastAsia="仿宋" w:cs="仿宋"/>
          <w:b/>
          <w:bCs/>
          <w:color w:val="auto"/>
          <w:sz w:val="36"/>
          <w:szCs w:val="36"/>
        </w:rPr>
        <w:t>第四章 供应商应当提供的资格证明材料</w:t>
      </w:r>
      <w:bookmarkEnd w:id="24"/>
      <w:bookmarkEnd w:id="25"/>
      <w:bookmarkEnd w:id="26"/>
      <w:bookmarkEnd w:id="27"/>
      <w:bookmarkEnd w:id="28"/>
    </w:p>
    <w:p>
      <w:pPr>
        <w:spacing w:line="400" w:lineRule="exact"/>
        <w:ind w:firstLine="482" w:firstLineChars="200"/>
        <w:rPr>
          <w:rFonts w:ascii="仿宋" w:hAnsi="仿宋" w:eastAsia="仿宋" w:cs="仿宋"/>
          <w:b/>
          <w:bCs/>
          <w:color w:val="auto"/>
          <w:sz w:val="24"/>
        </w:rPr>
      </w:pPr>
    </w:p>
    <w:p>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一、满足本项目基本资格条件的证明材料</w:t>
      </w:r>
    </w:p>
    <w:p>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1、营业执照等证明文件</w:t>
      </w:r>
    </w:p>
    <w:p>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（1）供应商若为企业法人：提供“统一社会信用代码营业执照”；</w:t>
      </w:r>
    </w:p>
    <w:p>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（2）供应商若为事业法人：提供“统一社会信用代码法人登记证书”；</w:t>
      </w:r>
    </w:p>
    <w:p>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（3）供应商若为其他组织：提供“对应主管部门颁发的准许执业证明文件或营业执照”；</w:t>
      </w:r>
    </w:p>
    <w:p>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（4）供应商若为自然人，提供“身份证明材料”；</w:t>
      </w:r>
    </w:p>
    <w:p>
      <w:pPr>
        <w:spacing w:line="360" w:lineRule="auto"/>
        <w:ind w:firstLine="480" w:firstLineChars="200"/>
        <w:rPr>
          <w:color w:val="auto"/>
        </w:rPr>
      </w:pPr>
      <w:r>
        <w:rPr>
          <w:rFonts w:hint="eastAsia" w:ascii="仿宋" w:hAnsi="仿宋" w:eastAsia="仿宋" w:cs="仿宋"/>
          <w:color w:val="auto"/>
          <w:sz w:val="24"/>
          <w:szCs w:val="32"/>
        </w:rPr>
        <w:t>2、</w:t>
      </w:r>
      <w:r>
        <w:rPr>
          <w:rFonts w:hint="eastAsia" w:ascii="仿宋" w:hAnsi="仿宋" w:eastAsia="仿宋" w:cs="仿宋"/>
          <w:color w:val="auto"/>
          <w:sz w:val="24"/>
        </w:rPr>
        <w:t>提供有效的“资格声明函”</w:t>
      </w:r>
      <w:r>
        <w:rPr>
          <w:rFonts w:hint="eastAsia" w:ascii="仿宋" w:hAnsi="仿宋" w:eastAsia="仿宋" w:cs="仿宋"/>
          <w:b/>
          <w:bCs/>
          <w:color w:val="auto"/>
          <w:sz w:val="24"/>
        </w:rPr>
        <w:t>（格式详见 格式1-4）</w:t>
      </w:r>
      <w:r>
        <w:rPr>
          <w:rFonts w:hint="eastAsia" w:ascii="仿宋" w:hAnsi="仿宋" w:eastAsia="仿宋" w:cs="仿宋"/>
          <w:color w:val="auto"/>
          <w:sz w:val="24"/>
        </w:rPr>
        <w:t>。</w:t>
      </w:r>
    </w:p>
    <w:p>
      <w:pPr>
        <w:spacing w:line="360" w:lineRule="auto"/>
        <w:jc w:val="left"/>
        <w:rPr>
          <w:rFonts w:ascii="仿宋" w:hAnsi="仿宋" w:eastAsia="仿宋" w:cs="仿宋"/>
          <w:b/>
          <w:color w:val="auto"/>
          <w:sz w:val="24"/>
        </w:rPr>
      </w:pPr>
    </w:p>
    <w:p>
      <w:pPr>
        <w:spacing w:line="360" w:lineRule="auto"/>
        <w:ind w:firstLine="482" w:firstLineChars="200"/>
        <w:jc w:val="left"/>
        <w:outlineLvl w:val="1"/>
        <w:rPr>
          <w:rFonts w:ascii="仿宋" w:hAnsi="仿宋" w:eastAsia="仿宋" w:cs="仿宋"/>
          <w:b/>
          <w:bCs/>
          <w:color w:val="auto"/>
          <w:sz w:val="24"/>
          <w:szCs w:val="32"/>
        </w:rPr>
      </w:pPr>
      <w:r>
        <w:rPr>
          <w:rFonts w:hint="eastAsia" w:ascii="仿宋" w:hAnsi="仿宋" w:eastAsia="仿宋" w:cs="仿宋"/>
          <w:b/>
          <w:bCs/>
          <w:color w:val="auto"/>
          <w:sz w:val="24"/>
          <w:szCs w:val="32"/>
        </w:rPr>
        <w:t>二、满足本项目特定资格条件的证明材料</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无。</w:t>
      </w:r>
    </w:p>
    <w:p>
      <w:pPr>
        <w:spacing w:line="360" w:lineRule="auto"/>
        <w:ind w:firstLine="241" w:firstLineChars="100"/>
        <w:rPr>
          <w:rFonts w:ascii="仿宋" w:hAnsi="仿宋" w:eastAsia="仿宋" w:cs="仿宋"/>
          <w:b/>
          <w:color w:val="auto"/>
          <w:sz w:val="24"/>
        </w:rPr>
      </w:pPr>
    </w:p>
    <w:p>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color w:val="auto"/>
          <w:sz w:val="24"/>
        </w:rPr>
        <w:t>三、满足本项目其他</w:t>
      </w:r>
      <w:r>
        <w:rPr>
          <w:rFonts w:hint="eastAsia" w:ascii="仿宋" w:hAnsi="仿宋" w:eastAsia="仿宋" w:cs="仿宋"/>
          <w:b/>
          <w:color w:val="auto"/>
          <w:sz w:val="24"/>
          <w:szCs w:val="22"/>
        </w:rPr>
        <w:t>具有类似效力的</w:t>
      </w:r>
      <w:r>
        <w:rPr>
          <w:rFonts w:hint="eastAsia" w:ascii="仿宋" w:hAnsi="仿宋" w:eastAsia="仿宋" w:cs="仿宋"/>
          <w:b/>
          <w:bCs/>
          <w:color w:val="auto"/>
          <w:sz w:val="24"/>
          <w:szCs w:val="22"/>
        </w:rPr>
        <w:t>证明材料</w:t>
      </w:r>
    </w:p>
    <w:p>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sz w:val="24"/>
        </w:rPr>
        <w:t>表人授权委托书原件（供应商代表为非法定代表人时提供）。</w:t>
      </w:r>
    </w:p>
    <w:p>
      <w:pPr>
        <w:spacing w:line="360" w:lineRule="auto"/>
        <w:rPr>
          <w:rFonts w:ascii="仿宋" w:hAnsi="仿宋" w:eastAsia="仿宋" w:cs="仿宋"/>
          <w:b/>
          <w:bCs/>
          <w:color w:val="auto"/>
          <w:sz w:val="24"/>
        </w:rPr>
      </w:pPr>
    </w:p>
    <w:p>
      <w:pPr>
        <w:spacing w:line="360" w:lineRule="auto"/>
        <w:jc w:val="left"/>
        <w:rPr>
          <w:rFonts w:ascii="仿宋" w:hAnsi="仿宋" w:eastAsia="仿宋" w:cs="仿宋"/>
          <w:b/>
          <w:bCs/>
          <w:color w:val="auto"/>
          <w:sz w:val="24"/>
        </w:rPr>
      </w:pPr>
    </w:p>
    <w:p>
      <w:pPr>
        <w:spacing w:line="360" w:lineRule="auto"/>
        <w:jc w:val="left"/>
        <w:rPr>
          <w:rFonts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1.本章要求提供的证件都应在有效期内，所有影印件都须加盖公章。</w:t>
      </w:r>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2.未按本章要求提供齐全相关资格性审查资料的、或者经审查未响应本章相关要求的，资格审查不能通过。</w:t>
      </w:r>
    </w:p>
    <w:p>
      <w:pPr>
        <w:spacing w:line="400" w:lineRule="exact"/>
        <w:ind w:firstLine="482" w:firstLineChars="200"/>
        <w:rPr>
          <w:rFonts w:ascii="仿宋" w:hAnsi="仿宋" w:eastAsia="仿宋" w:cs="仿宋"/>
          <w:b/>
          <w:bCs/>
          <w:color w:val="auto"/>
          <w:sz w:val="24"/>
        </w:rPr>
      </w:pPr>
    </w:p>
    <w:p>
      <w:pPr>
        <w:pStyle w:val="25"/>
        <w:spacing w:beforeLines="50" w:afterLines="100" w:line="360" w:lineRule="auto"/>
        <w:jc w:val="center"/>
        <w:outlineLvl w:val="0"/>
        <w:rPr>
          <w:rFonts w:ascii="仿宋" w:hAnsi="仿宋" w:eastAsia="仿宋" w:cs="仿宋"/>
          <w:b/>
          <w:bCs/>
          <w:color w:val="auto"/>
          <w:kern w:val="2"/>
          <w:sz w:val="36"/>
          <w:szCs w:val="36"/>
        </w:rPr>
      </w:pPr>
      <w:r>
        <w:rPr>
          <w:rFonts w:hint="eastAsia" w:ascii="仿宋" w:hAnsi="仿宋" w:eastAsia="仿宋" w:cs="仿宋"/>
          <w:b/>
          <w:bCs/>
          <w:color w:val="auto"/>
          <w:kern w:val="2"/>
          <w:sz w:val="36"/>
          <w:szCs w:val="36"/>
        </w:rPr>
        <w:br w:type="page"/>
      </w:r>
      <w:bookmarkStart w:id="29" w:name="_Toc28624"/>
      <w:bookmarkStart w:id="30" w:name="_Toc18202"/>
      <w:bookmarkStart w:id="31" w:name="_Toc15132"/>
      <w:bookmarkStart w:id="32" w:name="_Toc7469"/>
      <w:bookmarkStart w:id="33" w:name="_Toc9934"/>
      <w:bookmarkStart w:id="34" w:name="_Toc16028"/>
      <w:r>
        <w:rPr>
          <w:rFonts w:hint="eastAsia" w:ascii="仿宋" w:hAnsi="仿宋" w:eastAsia="仿宋" w:cs="仿宋"/>
          <w:b/>
          <w:bCs/>
          <w:color w:val="auto"/>
          <w:kern w:val="2"/>
          <w:sz w:val="36"/>
          <w:szCs w:val="36"/>
        </w:rPr>
        <w:t>第五章 采购项目内容及商务要求</w:t>
      </w:r>
      <w:bookmarkEnd w:id="29"/>
      <w:bookmarkEnd w:id="30"/>
      <w:bookmarkEnd w:id="31"/>
      <w:bookmarkEnd w:id="32"/>
      <w:bookmarkEnd w:id="33"/>
      <w:bookmarkEnd w:id="34"/>
    </w:p>
    <w:p>
      <w:pPr>
        <w:pStyle w:val="6"/>
        <w:keepLines/>
        <w:spacing w:beforeLines="100" w:line="360" w:lineRule="auto"/>
        <w:ind w:firstLine="482" w:firstLineChars="200"/>
        <w:rPr>
          <w:rFonts w:ascii="仿宋" w:hAnsi="仿宋" w:eastAsia="仿宋" w:cs="仿宋"/>
          <w:bCs/>
          <w:color w:val="auto"/>
          <w:sz w:val="24"/>
        </w:rPr>
      </w:pPr>
      <w:bookmarkStart w:id="35" w:name="_Toc217446094"/>
      <w:r>
        <w:rPr>
          <w:rFonts w:hint="eastAsia" w:ascii="仿宋" w:hAnsi="仿宋" w:eastAsia="仿宋" w:cs="仿宋"/>
          <w:bCs/>
          <w:color w:val="auto"/>
          <w:sz w:val="24"/>
        </w:rPr>
        <w:t>一、项目概述</w:t>
      </w:r>
      <w:bookmarkEnd w:id="35"/>
    </w:p>
    <w:p>
      <w:pPr>
        <w:spacing w:line="360" w:lineRule="auto"/>
        <w:ind w:firstLine="480" w:firstLineChars="200"/>
        <w:jc w:val="left"/>
        <w:rPr>
          <w:rFonts w:ascii="仿宋" w:hAnsi="仿宋" w:eastAsia="仿宋" w:cs="仿宋"/>
          <w:b/>
          <w:color w:val="auto"/>
          <w:sz w:val="40"/>
          <w:szCs w:val="40"/>
        </w:rPr>
      </w:pPr>
      <w:bookmarkStart w:id="36" w:name="_Toc18538"/>
      <w:r>
        <w:rPr>
          <w:rFonts w:hint="eastAsia" w:ascii="仿宋" w:hAnsi="仿宋" w:eastAsia="仿宋" w:cs="仿宋"/>
          <w:color w:val="auto"/>
          <w:sz w:val="24"/>
        </w:rPr>
        <w:t>富顺县中医医院（同心院区、富达路院区）为确保医院中央空调、手术室洁净空调、精密空调、净化设备、新风设备等系统的设备始终处于良好的运行状态，洁净净手术室的七大洁净指标(温湿度、风速或换气次数、噪声、压差、照度、尘埃粒子)符合《医院洁净手术部建筑技术规范》GB50333-2013标准、《医院空气净化管理规范》WS/T368-2012、《公共场所集中空调通风系统清洗消毒规范》（WS/T 10005—2023）标准及符合《中华人民共和国床染病防治法》《公共场所卫生管理条例》及其《实施条例》《四川公共场所卫生管理办法》。同时达到节能降耗降低运行成本和延长使用寿命，让医务人员和病员，有更好的工作环境和就医环境。</w:t>
      </w:r>
    </w:p>
    <w:p>
      <w:pPr>
        <w:spacing w:line="400" w:lineRule="exact"/>
        <w:ind w:firstLine="482" w:firstLineChars="200"/>
        <w:jc w:val="left"/>
        <w:outlineLvl w:val="1"/>
        <w:rPr>
          <w:rFonts w:ascii="仿宋" w:hAnsi="仿宋" w:eastAsia="仿宋" w:cs="仿宋"/>
          <w:b/>
          <w:bCs/>
          <w:color w:val="auto"/>
          <w:sz w:val="24"/>
        </w:rPr>
      </w:pPr>
      <w:r>
        <w:rPr>
          <w:rFonts w:hint="eastAsia" w:ascii="仿宋" w:hAnsi="仿宋" w:eastAsia="仿宋" w:cs="仿宋"/>
          <w:b/>
          <w:bCs/>
          <w:color w:val="auto"/>
          <w:sz w:val="24"/>
        </w:rPr>
        <w:t>★二、</w:t>
      </w:r>
      <w:bookmarkEnd w:id="36"/>
      <w:r>
        <w:rPr>
          <w:rFonts w:hint="eastAsia" w:ascii="仿宋" w:hAnsi="仿宋" w:eastAsia="仿宋" w:cs="仿宋"/>
          <w:b/>
          <w:bCs/>
          <w:color w:val="auto"/>
          <w:sz w:val="24"/>
        </w:rPr>
        <w:t>采购标的</w:t>
      </w:r>
    </w:p>
    <w:tbl>
      <w:tblPr>
        <w:tblStyle w:val="26"/>
        <w:tblW w:w="8895" w:type="dxa"/>
        <w:jc w:val="center"/>
        <w:tblLayout w:type="fixed"/>
        <w:tblCellMar>
          <w:top w:w="0" w:type="dxa"/>
          <w:left w:w="0" w:type="dxa"/>
          <w:bottom w:w="0" w:type="dxa"/>
          <w:right w:w="0" w:type="dxa"/>
        </w:tblCellMar>
      </w:tblPr>
      <w:tblGrid>
        <w:gridCol w:w="693"/>
        <w:gridCol w:w="3550"/>
        <w:gridCol w:w="3579"/>
        <w:gridCol w:w="1073"/>
      </w:tblGrid>
      <w:tr>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序号</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采购标的名称</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服务期限</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富顺县中医医院全院中央空调、手术室洁净空调、精密空调、净化设备、新风设备等维保服务</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自合同签订之日起1年。</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19"/>
              <w:tabs>
                <w:tab w:val="left" w:pos="795"/>
              </w:tabs>
              <w:spacing w:line="400" w:lineRule="exact"/>
              <w:ind w:firstLine="0"/>
              <w:jc w:val="center"/>
              <w:rPr>
                <w:rFonts w:ascii="仿宋" w:hAnsi="仿宋" w:eastAsia="仿宋" w:cs="仿宋"/>
                <w:color w:val="auto"/>
                <w:sz w:val="24"/>
                <w:szCs w:val="24"/>
                <w:lang w:val="en-US" w:eastAsia="zh-CN"/>
              </w:rPr>
            </w:pPr>
          </w:p>
        </w:tc>
      </w:tr>
    </w:tbl>
    <w:p>
      <w:pPr>
        <w:pStyle w:val="119"/>
        <w:tabs>
          <w:tab w:val="left" w:pos="795"/>
        </w:tabs>
        <w:spacing w:line="400" w:lineRule="exact"/>
        <w:ind w:firstLine="420"/>
        <w:rPr>
          <w:rFonts w:ascii="仿宋" w:hAnsi="仿宋" w:eastAsia="仿宋" w:cs="仿宋"/>
          <w:color w:val="auto"/>
          <w:sz w:val="24"/>
          <w:szCs w:val="24"/>
          <w:lang w:val="en-US" w:eastAsia="zh-CN"/>
        </w:rPr>
      </w:pPr>
    </w:p>
    <w:p>
      <w:pPr>
        <w:spacing w:line="360" w:lineRule="auto"/>
        <w:ind w:firstLine="482" w:firstLineChars="200"/>
        <w:jc w:val="left"/>
        <w:outlineLvl w:val="1"/>
        <w:rPr>
          <w:rFonts w:ascii="仿宋" w:hAnsi="仿宋" w:eastAsia="仿宋" w:cs="仿宋"/>
          <w:b/>
          <w:bCs/>
          <w:color w:val="auto"/>
          <w:sz w:val="24"/>
        </w:rPr>
      </w:pPr>
      <w:r>
        <w:rPr>
          <w:rFonts w:hint="eastAsia" w:ascii="仿宋" w:hAnsi="仿宋" w:eastAsia="仿宋" w:cs="仿宋"/>
          <w:b/>
          <w:bCs/>
          <w:color w:val="auto"/>
          <w:sz w:val="24"/>
        </w:rPr>
        <w:t>★三、服务内容及要求</w:t>
      </w:r>
    </w:p>
    <w:p>
      <w:pPr>
        <w:pStyle w:val="2"/>
        <w:spacing w:line="360" w:lineRule="auto"/>
        <w:ind w:firstLine="480" w:firstLineChars="200"/>
        <w:rPr>
          <w:rFonts w:ascii="仿宋" w:hAnsi="仿宋" w:eastAsia="仿宋" w:cs="仿宋"/>
          <w:color w:val="auto"/>
          <w:sz w:val="24"/>
        </w:rPr>
      </w:pPr>
      <w:bookmarkStart w:id="37" w:name="_Toc25068"/>
      <w:r>
        <w:rPr>
          <w:rFonts w:hint="eastAsia" w:ascii="仿宋" w:hAnsi="仿宋" w:eastAsia="仿宋" w:cs="仿宋"/>
          <w:color w:val="auto"/>
          <w:sz w:val="24"/>
        </w:rPr>
        <w:t>（一）维保标准及目的</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1.中央空调系统和特殊科室的净化设备经过清洗、消毒保养，使其降低能源消耗，让使用环境的含尘量、含菌量达到卫生标准，创造良好的公共场所卫生条件，预防疾病，保障人体健康。</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2.严格按照卫生部颁发的《公共场所集中空调通风系统清洗消毒规范》（WS/T 10005—2023））、《集中空调通风系统清洗行业技术管理规范》（SB/T10594-2011）、《空调通风系统清洗规范》（GB19210-2003）,《通风空调系统清洗服务标准〉（JG/T4OO-2O12）、《医院消毒卫生标准》（GB15982-2012）执行清洗维保。</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3.在淡季时做好维保维护工作，确保设备的安全稳定运行。</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确保医院集中空调设备和特殊科室的净化设备始终处于良好的运行状态，各项指标达到相关的标准。如第三方检测公司对医院中央空调、净化空调按以上标准/规范检测不合格，供应商应立即维护保养，维护保养结果达到检测合格(检测费用由供应商负责)。</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（二）设备运行、维修、保养范围</w:t>
      </w:r>
    </w:p>
    <w:tbl>
      <w:tblPr>
        <w:tblStyle w:val="26"/>
        <w:tblW w:w="9539"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796"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设备运行、维修、保养工作职责内容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一期、二期中央空调主机系统及自动化控制系统；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一期、二期中央空调末端风机盘管及控制系统；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一期、二期燃气热水锅炉及控制系统；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一期、二期中央空调制冷、制热循环水管路及冷凝水排水系统；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一期、二期中央空调主机及末端风机盘管的电源线路系统；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放射科、信息科精密空调及磁共振水冷机组及控制系统；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新风设备系统维护保养及自动化系统；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保持中央空调机组整洁，空调机组、控制柜有序号标识；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9</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清洗风机盘管的回风过滤网；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洁净手术室、ICU、PCR实验室、消毒供应室的净化空调系统及自动化控制系统；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手术室、ICU、PCR实验室、消毒供应室的排风系统及自动化控制系统；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手术室、ICU、PCR实验室、消毒供应室的风冷式模块机组及自动化控制系统；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13</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手术室、ICU、PCR实验室、消毒供应室的机房的强弱电控制系统；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净化手术室、ICU机房、PCR实验室、消毒供应室的电气控制系统；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新风设备系统维护保养及自动化系统；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规范操作工作流程，定期排查重点部位，发现安全隐患及时排除；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保持净化设备机房环境及室外机整洁，空调机组、控制柜有序号标识；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18</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更换一次性初、中效清洗新风过滤网；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19</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停机维修、保养操作时，要与使用科室负责人沟通，开机率不低于98%；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20</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负责设备机房的管理工作，工作制度、记录齐全；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按时间段每日、周、月、季度、年度安排工作计划进行定期维护，保存带水印影像资料并填写月检记录表由使用科室签字后交给医院存档。</w:t>
            </w: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（三）服务责任及承诺</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根据采购人设备情况，供应商安排维修耗材、维修配件及维修工具的及时到位，做到及时监测，需要更换的配件及时更换，不留隐患，要让设备在良好的状态下运行维保期间可以有效的保证集中式空调和特殊科室的净化设备各项指标（温度、湿度、洁净度、风速、压差、换气次数、噪声、照度）均符合国家标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2.为保障系统的有效功能和正常使用，所需要更换的单个配件、材料单价在</w:t>
      </w:r>
      <w:r>
        <w:rPr>
          <w:rFonts w:ascii="仿宋" w:hAnsi="仿宋" w:eastAsia="仿宋" w:cs="仿宋"/>
          <w:b/>
          <w:bCs w:val="0"/>
          <w:color w:val="auto"/>
          <w:sz w:val="24"/>
        </w:rPr>
        <w:t>300元以下的（包括300元）由供应商进行更换和维护保养，产生的费用由供应商承担。供应商在巡检中发现超过</w:t>
      </w:r>
      <w:r>
        <w:rPr>
          <w:rFonts w:hint="eastAsia" w:ascii="仿宋" w:hAnsi="仿宋" w:eastAsia="仿宋" w:cs="仿宋"/>
          <w:b/>
          <w:bCs w:val="0"/>
          <w:color w:val="auto"/>
          <w:sz w:val="24"/>
          <w:lang w:eastAsia="zh-CN"/>
        </w:rPr>
        <w:t>单价</w:t>
      </w:r>
      <w:r>
        <w:rPr>
          <w:rFonts w:ascii="仿宋" w:hAnsi="仿宋" w:eastAsia="仿宋" w:cs="仿宋"/>
          <w:b/>
          <w:bCs w:val="0"/>
          <w:color w:val="auto"/>
          <w:sz w:val="24"/>
        </w:rPr>
        <w:t>300元以上的单个配件、材料损坏，及时通知</w:t>
      </w:r>
      <w:r>
        <w:rPr>
          <w:rFonts w:hint="eastAsia" w:ascii="仿宋" w:hAnsi="仿宋" w:eastAsia="仿宋" w:cs="仿宋"/>
          <w:b/>
          <w:bCs w:val="0"/>
          <w:color w:val="auto"/>
          <w:sz w:val="24"/>
          <w:lang w:eastAsia="zh-CN"/>
        </w:rPr>
        <w:t>采购人</w:t>
      </w:r>
      <w:r>
        <w:rPr>
          <w:rFonts w:ascii="仿宋" w:hAnsi="仿宋" w:eastAsia="仿宋" w:cs="仿宋"/>
          <w:b/>
          <w:bCs w:val="0"/>
          <w:color w:val="auto"/>
          <w:sz w:val="24"/>
        </w:rPr>
        <w:t>，按市场调研最低询价更换和维护保养</w:t>
      </w:r>
      <w:r>
        <w:rPr>
          <w:rFonts w:hint="eastAsia" w:ascii="仿宋" w:hAnsi="仿宋" w:eastAsia="仿宋" w:cs="仿宋"/>
          <w:b/>
          <w:bCs w:val="0"/>
          <w:color w:val="auto"/>
          <w:sz w:val="24"/>
        </w:rPr>
        <w:t>（</w:t>
      </w:r>
      <w:r>
        <w:rPr>
          <w:rFonts w:hint="default" w:ascii="仿宋" w:hAnsi="仿宋" w:eastAsia="仿宋" w:cs="仿宋"/>
          <w:b/>
          <w:bCs w:val="0"/>
          <w:color w:val="auto"/>
          <w:sz w:val="24"/>
        </w:rPr>
        <w:t>价额</w:t>
      </w:r>
      <w:r>
        <w:rPr>
          <w:rFonts w:hint="eastAsia" w:ascii="仿宋" w:hAnsi="仿宋" w:eastAsia="仿宋" w:cs="仿宋"/>
          <w:b/>
          <w:bCs w:val="0"/>
          <w:color w:val="auto"/>
          <w:sz w:val="24"/>
        </w:rPr>
        <w:t>不</w:t>
      </w:r>
      <w:r>
        <w:rPr>
          <w:rFonts w:hint="eastAsia" w:ascii="仿宋" w:hAnsi="仿宋" w:eastAsia="仿宋" w:cs="仿宋"/>
          <w:b/>
          <w:bCs w:val="0"/>
          <w:color w:val="auto"/>
          <w:sz w:val="24"/>
          <w:lang w:eastAsia="zh-CN"/>
        </w:rPr>
        <w:t>再</w:t>
      </w:r>
      <w:r>
        <w:rPr>
          <w:rFonts w:hint="eastAsia" w:ascii="仿宋" w:hAnsi="仿宋" w:eastAsia="仿宋" w:cs="仿宋"/>
          <w:b/>
          <w:bCs w:val="0"/>
          <w:color w:val="auto"/>
          <w:sz w:val="24"/>
        </w:rPr>
        <w:t>进行下浮）</w:t>
      </w:r>
      <w:r>
        <w:rPr>
          <w:rFonts w:hint="eastAsia" w:ascii="仿宋" w:hAnsi="仿宋" w:eastAsia="仿宋" w:cs="仿宋"/>
          <w:color w:val="auto"/>
          <w:sz w:val="24"/>
        </w:rPr>
        <w:t>，估算1万元以上的设备由采购人另行招标采购。</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3.系统正常运行时，操作人员必需按照供应商的正确指示操作各设备。</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4.根据供应商维修人员提出的要求，采取相对必要的安全防范措施。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5.采购人协助供应商做好对合同维修范围内的安全和卫生管理工作。保证供应商负责的设备材料不受其他人员的侵扰，并为供应商供放工具和设备材料的安全场所。</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6.采购人负责为供应商提供正常维护工作所需的条件：包括供水、供电、以及照明等基本条件，同时为供应商维护人员出入提供方便。</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7.采购人负责指定各部门责任人对供应商工作人员的工作进行确认并予以核实，在得到部门责任人的肯定后给予签字认可。</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8.维保报价清单：</w:t>
      </w:r>
    </w:p>
    <w:tbl>
      <w:tblPr>
        <w:tblStyle w:val="26"/>
        <w:tblW w:w="9539" w:type="dxa"/>
        <w:tblInd w:w="-130" w:type="dxa"/>
        <w:tblLayout w:type="fixed"/>
        <w:tblCellMar>
          <w:top w:w="0" w:type="dxa"/>
          <w:left w:w="108" w:type="dxa"/>
          <w:bottom w:w="0" w:type="dxa"/>
          <w:right w:w="108" w:type="dxa"/>
        </w:tblCellMar>
      </w:tblPr>
      <w:tblGrid>
        <w:gridCol w:w="614"/>
        <w:gridCol w:w="1211"/>
        <w:gridCol w:w="1125"/>
        <w:gridCol w:w="3112"/>
        <w:gridCol w:w="738"/>
        <w:gridCol w:w="662"/>
        <w:gridCol w:w="1003"/>
        <w:gridCol w:w="1074"/>
      </w:tblGrid>
      <w:tr>
        <w:tblPrEx>
          <w:tblCellMar>
            <w:top w:w="0" w:type="dxa"/>
            <w:left w:w="108" w:type="dxa"/>
            <w:bottom w:w="0" w:type="dxa"/>
            <w:right w:w="108" w:type="dxa"/>
          </w:tblCellMar>
        </w:tblPrEx>
        <w:trPr>
          <w:trHeight w:val="617" w:hRule="atLeast"/>
        </w:trPr>
        <w:tc>
          <w:tcPr>
            <w:tcW w:w="6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序号</w:t>
            </w:r>
          </w:p>
        </w:tc>
        <w:tc>
          <w:tcPr>
            <w:tcW w:w="1211"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维保项目</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型号</w:t>
            </w:r>
          </w:p>
        </w:tc>
        <w:tc>
          <w:tcPr>
            <w:tcW w:w="311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维护保养内容</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单位</w:t>
            </w:r>
          </w:p>
        </w:tc>
        <w:tc>
          <w:tcPr>
            <w:tcW w:w="662"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数量</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p>
            <w:pPr>
              <w:pStyle w:val="2"/>
              <w:spacing w:line="360" w:lineRule="auto"/>
              <w:rPr>
                <w:rFonts w:ascii="仿宋" w:hAnsi="仿宋" w:eastAsia="仿宋" w:cs="仿宋"/>
                <w:color w:val="auto"/>
                <w:sz w:val="24"/>
              </w:rPr>
            </w:pPr>
            <w:r>
              <w:rPr>
                <w:rFonts w:hint="eastAsia" w:ascii="仿宋" w:hAnsi="仿宋" w:eastAsia="仿宋" w:cs="仿宋"/>
                <w:b/>
                <w:bCs w:val="0"/>
                <w:color w:val="auto"/>
                <w:sz w:val="24"/>
              </w:rPr>
              <w:t>单价</w:t>
            </w:r>
            <w:r>
              <w:rPr>
                <w:rFonts w:hint="eastAsia" w:ascii="仿宋" w:hAnsi="仿宋" w:eastAsia="仿宋" w:cs="仿宋"/>
                <w:color w:val="auto"/>
                <w:sz w:val="24"/>
              </w:rPr>
              <w:t>（控制价）（元）</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ascii="仿宋" w:hAnsi="仿宋" w:eastAsia="仿宋" w:cs="仿宋"/>
                <w:color w:val="auto"/>
                <w:sz w:val="24"/>
              </w:rPr>
              <w:t>总价（元）</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一、一期中央空调系统维保报价表</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211"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螺杆式冷水机组</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LSBLG670HE/Nb</w:t>
            </w:r>
          </w:p>
        </w:tc>
        <w:tc>
          <w:tcPr>
            <w:tcW w:w="311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螺杆式冷水机组主机常规维修保养。</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4600</w:t>
            </w:r>
          </w:p>
        </w:tc>
        <w:tc>
          <w:tcPr>
            <w:tcW w:w="1074"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9200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真空燃气热水锅炉</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ZRQ-60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各仪器仪表装置、燃料供应管路系统、进水系统、电器系统部分维护。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2300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4600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KQL100-200A</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1260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热水泵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KQL80-200B</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冷却水泵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KQL125-125</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全程水处理器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SYS-200B1.6JZ/D-B</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检查过滤器、电子控制器和传感器定期添加消毒机和抑制剂等。</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780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分水器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集水器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压差控制阀</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DN150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部件打黄油、压差数据调节等维护。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贯流式空气幕</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L=900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电机维护、清洗、除污、消毒、及其维护保养。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38</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2280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方形横流冷却塔</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SC-175H</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电机维护、风机皮带、清洗、除污、消毒、及其维护保养。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1900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3800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膨胀水箱</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1000X1000X1000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补水球阀维护、箱体的清洗、除污、消毒、及其维护保养。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螺杆式冷水机组自控制系统</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2720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管道清洗、除锈、防锈处理、保温层修补、水过滤器清洗。</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4100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4100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风管管道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管道抗震支架检查、保温层修补。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冷凝水系统管道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管道清洗、疏通、抗震支架调节、保温层修补。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2850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2850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热泵式热回收型溶液调湿机组</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HVF-12</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18</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末端盘管及控制系统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FPG-34</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59</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3540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19</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FPG-51</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48</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6432</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20</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FPG-68</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88</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3960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21</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FPG-102</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980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22</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FPG-136</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3200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23</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FPG-170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89</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178</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吊顶式空调机组</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GIII-60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270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GIII-120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320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GIII-150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180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27</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风口回风网清洗消毒</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送风口</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498</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3984</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回风口及滤网</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清洗风口百叶和回风过滤网。</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370</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3700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29</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新风口</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2656</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73990</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二、二期中央空调系统维保报价表</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w:t>
            </w:r>
          </w:p>
        </w:tc>
        <w:tc>
          <w:tcPr>
            <w:tcW w:w="1211"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变频离心式冷水机组</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LSBLX600SVT</w:t>
            </w:r>
          </w:p>
        </w:tc>
        <w:tc>
          <w:tcPr>
            <w:tcW w:w="311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变频离心式冷水机组主机常规维修保养。</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7797</w:t>
            </w:r>
          </w:p>
        </w:tc>
        <w:tc>
          <w:tcPr>
            <w:tcW w:w="1074"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15594</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31</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燃气式真空热水锅炉</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ZKW1.4</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各仪器仪表装置、燃料供应管路系统、进水系统、电器系统部分维护。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5280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10560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32</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L=399T/h  H=38mH</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2580</w:t>
            </w:r>
          </w:p>
        </w:tc>
      </w:tr>
      <w:tr>
        <w:tblPrEx>
          <w:tblCellMar>
            <w:top w:w="0" w:type="dxa"/>
            <w:left w:w="108" w:type="dxa"/>
            <w:bottom w:w="0" w:type="dxa"/>
            <w:right w:w="108" w:type="dxa"/>
          </w:tblCellMar>
        </w:tblPrEx>
        <w:trPr>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热水泵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L=138T/h  H=37.5mHo</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2580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34</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冷却水泵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L=486T/h  H=34mH</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2580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35</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全程水处理器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SYS-200B1.6JZ/D-B</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检查过滤器、电子控制器和传感器定期添加消毒机和抑制剂等。</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1260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36</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分水器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210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210</w:t>
            </w:r>
          </w:p>
        </w:tc>
      </w:tr>
      <w:tr>
        <w:tblPrEx>
          <w:tblCellMar>
            <w:top w:w="0" w:type="dxa"/>
            <w:left w:w="108" w:type="dxa"/>
            <w:bottom w:w="0" w:type="dxa"/>
            <w:right w:w="108" w:type="dxa"/>
          </w:tblCellMar>
        </w:tblPrEx>
        <w:trPr>
          <w:trHeight w:val="90"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37</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集水器</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210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210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38</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贯流式空气幕</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L=900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电机维护、清洗、除污、消毒、及其维护保养。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2025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39</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喷雾推进通风冷却塔</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XNPWT-1000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电机维护、风机皮带、清洗、除污、消毒、及其维护保养。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9000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40</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膨胀水箱</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1500*1500*1000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补水球阀维护、箱体的清洗、除污、消毒、及其维护保养。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41</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变频离心式冷水机组自控制系统</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3200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管道清洗、除锈、防锈处理、保温层修补、水过滤器清洗。</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43</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风管管道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管道抗震支架检查、保温层修补。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6200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6200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44</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冷凝水系统管道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管道清洗、疏通、抗震支架调节、保温层修补。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2900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2900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211" w:type="dxa"/>
            <w:vMerge w:val="restart"/>
            <w:tcBorders>
              <w:top w:val="nil"/>
              <w:left w:val="nil"/>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洁净新风机组</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CYZ-08</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660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46</w:t>
            </w:r>
          </w:p>
        </w:tc>
        <w:tc>
          <w:tcPr>
            <w:tcW w:w="1211" w:type="dxa"/>
            <w:vMerge w:val="continue"/>
            <w:tcBorders>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CYZ-09</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680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9520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47</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卧式暗装风机盘管及控制系统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FP-34</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42</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546</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48</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FP-51</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43</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1935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49</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FP-68</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106</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4770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FP-85</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59</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46</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2714</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51</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FP-102</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169</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47</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7943</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52</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FP-136</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220</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47</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10340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53</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FP-170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49</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392</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54</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FP-204</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49</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1617</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55</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FP-238</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51</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1275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吊顶式空调机组</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DGV1-80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57</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DGV1-90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58</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DGV1-100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59</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DGV1-120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DGV1-150</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61</w:t>
            </w:r>
          </w:p>
        </w:tc>
        <w:tc>
          <w:tcPr>
            <w:tcW w:w="1211" w:type="dxa"/>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风口回风网清洗消毒</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送风口</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985</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7880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62</w:t>
            </w:r>
          </w:p>
        </w:tc>
        <w:tc>
          <w:tcPr>
            <w:tcW w:w="1211" w:type="dxa"/>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回风口及滤网</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清洗风口百叶和回风过滤网。</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687</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7557</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63</w:t>
            </w:r>
          </w:p>
        </w:tc>
        <w:tc>
          <w:tcPr>
            <w:tcW w:w="1211" w:type="dxa"/>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新风口</w:t>
            </w: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711</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5688</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133476</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三、放射科精密空调维保报价表</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64</w:t>
            </w:r>
          </w:p>
        </w:tc>
        <w:tc>
          <w:tcPr>
            <w:tcW w:w="1211"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风冷模块机组</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模块机组主机维保（更换油过滤器、冷冻油、清洗蒸发机冷凝器翅片等）。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1250</w:t>
            </w:r>
          </w:p>
        </w:tc>
        <w:tc>
          <w:tcPr>
            <w:tcW w:w="1074"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2500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空调循环水泵</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补水箱</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67</w:t>
            </w:r>
          </w:p>
        </w:tc>
        <w:tc>
          <w:tcPr>
            <w:tcW w:w="1211"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管道清洗、除锈、防锈处理、保温层修补。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1320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68</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室外机组自控制系统</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365</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730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69</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精密空调</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维修维护线控器、电机、叶轮、翅片、加湿器等，过滤器更换等。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2650</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5300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12620</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四、信息科精密空调维保报价表</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70</w:t>
            </w:r>
          </w:p>
        </w:tc>
        <w:tc>
          <w:tcPr>
            <w:tcW w:w="1211"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精密空调</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维修维护线控器、电机、叶轮、翅片、加湿器等，过滤器更换等。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6530</w:t>
            </w:r>
          </w:p>
        </w:tc>
        <w:tc>
          <w:tcPr>
            <w:tcW w:w="1074"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6530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五、手术室净化系统维护保养报价表</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71</w:t>
            </w:r>
          </w:p>
        </w:tc>
        <w:tc>
          <w:tcPr>
            <w:tcW w:w="1211"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65KW风冷模块机组</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海尔LSQWRF65/R2Y</w:t>
            </w:r>
          </w:p>
        </w:tc>
        <w:tc>
          <w:tcPr>
            <w:tcW w:w="3112"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w:t>
            </w:r>
          </w:p>
        </w:tc>
        <w:tc>
          <w:tcPr>
            <w:tcW w:w="1003"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1000</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6000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72</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排风机</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KTW2801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488</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2928</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73</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制冷设备自控制系统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AHU-01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18</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74</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空调水泵</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15KW</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75</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补水箱</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77</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组合式空气处理机组</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78</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79</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紫外线杀菌系统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80</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电加热器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1200</w:t>
            </w:r>
          </w:p>
        </w:tc>
      </w:tr>
      <w:tr>
        <w:tblPrEx>
          <w:tblCellMar>
            <w:top w:w="0" w:type="dxa"/>
            <w:left w:w="108" w:type="dxa"/>
            <w:bottom w:w="0" w:type="dxa"/>
            <w:right w:w="108" w:type="dxa"/>
          </w:tblCellMar>
        </w:tblPrEx>
        <w:trPr>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81</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净化机组智控系统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82</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情报面板</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935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83</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层流净化通风系统管道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24683</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六、ICU净化系统维护保养报价表</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84</w:t>
            </w:r>
          </w:p>
        </w:tc>
        <w:tc>
          <w:tcPr>
            <w:tcW w:w="1211"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65KW风冷模块机组</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海尔LSQWRF65/R2Y</w:t>
            </w:r>
          </w:p>
        </w:tc>
        <w:tc>
          <w:tcPr>
            <w:tcW w:w="3112"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w:t>
            </w:r>
          </w:p>
        </w:tc>
        <w:tc>
          <w:tcPr>
            <w:tcW w:w="1003"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1000</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4000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85</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排风机</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KTW2801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488</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2440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制冷设备自控制系统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AHU-01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87</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空调水泵</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15KW</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330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88</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补水箱</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89</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90</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组合式空气处理机组</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奥揽达</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r>
      <w:tr>
        <w:tblPrEx>
          <w:tblCellMar>
            <w:top w:w="0" w:type="dxa"/>
            <w:left w:w="108" w:type="dxa"/>
            <w:bottom w:w="0" w:type="dxa"/>
            <w:right w:w="108" w:type="dxa"/>
          </w:tblCellMar>
        </w:tblPrEx>
        <w:trPr>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91</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92</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紫外线杀菌系统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93</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电加热器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94</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净化机组智控系统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95</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净化机组控制面板</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85</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层流净化通风系统管道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10958</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七、PCR实验室净化系统维护保养报价表</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97</w:t>
            </w:r>
          </w:p>
        </w:tc>
        <w:tc>
          <w:tcPr>
            <w:tcW w:w="1211"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制冷室外机组</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EK</w:t>
            </w:r>
          </w:p>
        </w:tc>
        <w:tc>
          <w:tcPr>
            <w:tcW w:w="3112"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w:t>
            </w:r>
          </w:p>
        </w:tc>
        <w:tc>
          <w:tcPr>
            <w:tcW w:w="1003"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1150</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2300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98</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排风净化机</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EK</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1250</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99</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制冷设备自控制系统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AHU-01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组合式空气处理机组</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EK</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2450</w:t>
            </w:r>
          </w:p>
        </w:tc>
      </w:tr>
      <w:tr>
        <w:tblPrEx>
          <w:tblCellMar>
            <w:top w:w="0" w:type="dxa"/>
            <w:left w:w="108" w:type="dxa"/>
            <w:bottom w:w="0" w:type="dxa"/>
            <w:right w:w="108" w:type="dxa"/>
          </w:tblCellMar>
        </w:tblPrEx>
        <w:trPr>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101</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102</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紫外线杀菌系统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350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103</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电加热器</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r>
      <w:tr>
        <w:tblPrEx>
          <w:tblCellMar>
            <w:top w:w="0" w:type="dxa"/>
            <w:left w:w="108" w:type="dxa"/>
            <w:bottom w:w="0" w:type="dxa"/>
            <w:right w:w="108" w:type="dxa"/>
          </w:tblCellMar>
        </w:tblPrEx>
        <w:trPr>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104</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净化机组智控系统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560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105</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净化机组控制面板</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套</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173</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电气和弱电控制系统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维护线路及各项电气元件。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8063</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八、消毒供应室维护保养报价表</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107</w:t>
            </w:r>
          </w:p>
        </w:tc>
        <w:tc>
          <w:tcPr>
            <w:tcW w:w="1211"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65KW风冷模块机组</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海尔LSQWRF65/R2Y</w:t>
            </w:r>
          </w:p>
        </w:tc>
        <w:tc>
          <w:tcPr>
            <w:tcW w:w="3112"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w:t>
            </w:r>
          </w:p>
        </w:tc>
        <w:tc>
          <w:tcPr>
            <w:tcW w:w="1003"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1000</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5000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108</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排风机</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KTW2801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488</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2440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109</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制冷设备自控制系统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AHU-01</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110</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空调水泵</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15KW</w:t>
            </w: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265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795</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111</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补水箱</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300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112</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冷冻水系统管道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113</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消毒机</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台</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114</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电气和弱电控制系统</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维护线路及各项电气元件。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155</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115</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风机盘管</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维护电机、叶轮、翅片等。清洗和消毒</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1650</w:t>
            </w:r>
          </w:p>
        </w:tc>
      </w:tr>
      <w:tr>
        <w:tblPrEx>
          <w:tblCellMar>
            <w:top w:w="0" w:type="dxa"/>
            <w:left w:w="108" w:type="dxa"/>
            <w:bottom w:w="0" w:type="dxa"/>
            <w:right w:w="108" w:type="dxa"/>
          </w:tblCellMar>
        </w:tblPrEx>
        <w:trPr>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116</w:t>
            </w:r>
          </w:p>
        </w:tc>
        <w:tc>
          <w:tcPr>
            <w:tcW w:w="1211"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层流净化通风系统管道</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p>
        </w:tc>
        <w:tc>
          <w:tcPr>
            <w:tcW w:w="3112"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项</w:t>
            </w:r>
          </w:p>
        </w:tc>
        <w:tc>
          <w:tcPr>
            <w:tcW w:w="662"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w:t>
            </w:r>
          </w:p>
        </w:tc>
        <w:tc>
          <w:tcPr>
            <w:tcW w:w="1003"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1150</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1150</w:t>
            </w:r>
          </w:p>
        </w:tc>
      </w:tr>
      <w:tr>
        <w:tblPrEx>
          <w:tblCellMar>
            <w:top w:w="0" w:type="dxa"/>
            <w:left w:w="108" w:type="dxa"/>
            <w:bottom w:w="0" w:type="dxa"/>
            <w:right w:w="108" w:type="dxa"/>
          </w:tblCellMar>
        </w:tblPrEx>
        <w:trPr>
          <w:trHeight w:val="215" w:hRule="atLeast"/>
        </w:trPr>
        <w:tc>
          <w:tcPr>
            <w:tcW w:w="8465" w:type="dxa"/>
            <w:gridSpan w:val="7"/>
            <w:tcBorders>
              <w:top w:val="nil"/>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小计</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14680</w:t>
            </w:r>
          </w:p>
        </w:tc>
      </w:tr>
      <w:tr>
        <w:tblPrEx>
          <w:tblCellMar>
            <w:top w:w="0" w:type="dxa"/>
            <w:left w:w="108" w:type="dxa"/>
            <w:bottom w:w="0" w:type="dxa"/>
            <w:right w:w="108" w:type="dxa"/>
          </w:tblCellMar>
        </w:tblPrEx>
        <w:trPr>
          <w:trHeight w:val="215" w:hRule="atLeast"/>
        </w:trPr>
        <w:tc>
          <w:tcPr>
            <w:tcW w:w="9539" w:type="dxa"/>
            <w:gridSpan w:val="8"/>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九、费用合计</w:t>
            </w:r>
          </w:p>
        </w:tc>
      </w:tr>
      <w:tr>
        <w:tblPrEx>
          <w:tblCellMar>
            <w:top w:w="0" w:type="dxa"/>
            <w:left w:w="108" w:type="dxa"/>
            <w:bottom w:w="0" w:type="dxa"/>
            <w:right w:w="108" w:type="dxa"/>
          </w:tblCellMar>
        </w:tblPrEx>
        <w:trPr>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7851" w:type="dxa"/>
            <w:gridSpan w:val="6"/>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汇总内容</w:t>
            </w:r>
          </w:p>
        </w:tc>
        <w:tc>
          <w:tcPr>
            <w:tcW w:w="1074"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金额(元)</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一、同心院区门诊楼中央空调系统、新风系统维保报价表</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73990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二、同心院区住院楼中央空调系统、新风系统维保报价表</w:t>
            </w:r>
          </w:p>
        </w:tc>
        <w:tc>
          <w:tcPr>
            <w:tcW w:w="1074"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133476</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三、富达路院区、同心院区放射科精密空调、新风系统维保报价表</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12620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四、富达路院区、同心院区信息科精密空调、新风系统维保报价表</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6530</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五、手术室净化系统维护保养报价表</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24683</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六、ICU净化系统维护保养报价表</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10958</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w:t>
            </w:r>
          </w:p>
        </w:tc>
        <w:tc>
          <w:tcPr>
            <w:tcW w:w="7851" w:type="dxa"/>
            <w:gridSpan w:val="6"/>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七、PCR实验室净化系统维护保养报价表</w:t>
            </w:r>
          </w:p>
        </w:tc>
        <w:tc>
          <w:tcPr>
            <w:tcW w:w="1074"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8063</w:t>
            </w:r>
          </w:p>
        </w:tc>
      </w:tr>
      <w:tr>
        <w:tblPrEx>
          <w:tblCellMar>
            <w:top w:w="0" w:type="dxa"/>
            <w:left w:w="108" w:type="dxa"/>
            <w:bottom w:w="0" w:type="dxa"/>
            <w:right w:w="108" w:type="dxa"/>
          </w:tblCellMar>
        </w:tblPrEx>
        <w:trPr>
          <w:trHeight w:val="215"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7851" w:type="dxa"/>
            <w:gridSpan w:val="6"/>
            <w:tcBorders>
              <w:top w:val="nil"/>
              <w:left w:val="nil"/>
              <w:bottom w:val="single" w:color="auto" w:sz="4"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八、消毒供应室维护保养报价表</w:t>
            </w:r>
          </w:p>
        </w:tc>
        <w:tc>
          <w:tcPr>
            <w:tcW w:w="1074" w:type="dxa"/>
            <w:tcBorders>
              <w:top w:val="nil"/>
              <w:left w:val="nil"/>
              <w:bottom w:val="single" w:color="auto" w:sz="4" w:space="0"/>
              <w:right w:val="single" w:color="000000" w:sz="8"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14680</w:t>
            </w:r>
          </w:p>
        </w:tc>
      </w:tr>
      <w:tr>
        <w:tblPrEx>
          <w:tblCellMar>
            <w:top w:w="0" w:type="dxa"/>
            <w:left w:w="108" w:type="dxa"/>
            <w:bottom w:w="0" w:type="dxa"/>
            <w:right w:w="108" w:type="dxa"/>
          </w:tblCellMar>
        </w:tblPrEx>
        <w:trPr>
          <w:trHeight w:val="208"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9</w:t>
            </w:r>
          </w:p>
        </w:tc>
        <w:tc>
          <w:tcPr>
            <w:tcW w:w="7851"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费用总计</w:t>
            </w:r>
          </w:p>
        </w:tc>
        <w:tc>
          <w:tcPr>
            <w:tcW w:w="1074"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285000</w:t>
            </w:r>
          </w:p>
        </w:tc>
      </w:tr>
      <w:tr>
        <w:tblPrEx>
          <w:tblCellMar>
            <w:top w:w="0" w:type="dxa"/>
            <w:left w:w="108" w:type="dxa"/>
            <w:bottom w:w="0" w:type="dxa"/>
            <w:right w:w="108" w:type="dxa"/>
          </w:tblCellMar>
        </w:tblPrEx>
        <w:trPr>
          <w:trHeight w:val="818" w:hRule="atLeast"/>
        </w:trPr>
        <w:tc>
          <w:tcPr>
            <w:tcW w:w="9539"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rPr>
                <w:rFonts w:hint="eastAsia" w:ascii="仿宋" w:hAnsi="仿宋" w:eastAsia="仿宋" w:cs="仿宋"/>
                <w:color w:val="auto"/>
                <w:sz w:val="24"/>
                <w:lang w:eastAsia="zh-CN"/>
              </w:rPr>
            </w:pPr>
            <w:r>
              <w:rPr>
                <w:rFonts w:hint="eastAsia" w:ascii="仿宋" w:hAnsi="仿宋" w:eastAsia="仿宋" w:cs="仿宋"/>
                <w:color w:val="auto"/>
                <w:sz w:val="24"/>
              </w:rPr>
              <w:t>说明：以上清单为</w:t>
            </w:r>
            <w:r>
              <w:rPr>
                <w:rFonts w:hint="eastAsia" w:ascii="仿宋" w:hAnsi="仿宋" w:eastAsia="仿宋" w:cs="仿宋"/>
                <w:color w:val="auto"/>
                <w:sz w:val="24"/>
                <w:lang w:eastAsia="zh-CN"/>
              </w:rPr>
              <w:t>采购人</w:t>
            </w:r>
            <w:r>
              <w:rPr>
                <w:rFonts w:hint="eastAsia" w:ascii="仿宋" w:hAnsi="仿宋" w:eastAsia="仿宋" w:cs="仿宋"/>
                <w:color w:val="auto"/>
                <w:sz w:val="24"/>
              </w:rPr>
              <w:t>主要维保内容（不代表全部），本次采购包括</w:t>
            </w:r>
            <w:r>
              <w:rPr>
                <w:rFonts w:hint="eastAsia" w:ascii="仿宋" w:hAnsi="仿宋" w:eastAsia="仿宋" w:cs="仿宋"/>
                <w:color w:val="auto"/>
                <w:sz w:val="24"/>
                <w:lang w:eastAsia="zh-CN"/>
              </w:rPr>
              <w:t>采购人</w:t>
            </w:r>
            <w:r>
              <w:rPr>
                <w:rFonts w:hint="eastAsia" w:ascii="仿宋" w:hAnsi="仿宋" w:eastAsia="仿宋" w:cs="仿宋"/>
                <w:color w:val="auto"/>
                <w:sz w:val="24"/>
              </w:rPr>
              <w:t>（同心院区、富达路院区）所有的中央空调系统，新风系统、净化系统、精密空调等的维保服务。</w:t>
            </w:r>
          </w:p>
          <w:p>
            <w:pPr>
              <w:pStyle w:val="2"/>
              <w:spacing w:line="360" w:lineRule="auto"/>
              <w:rPr>
                <w:rFonts w:hint="eastAsia" w:ascii="仿宋" w:hAnsi="仿宋" w:eastAsia="仿宋" w:cs="仿宋"/>
                <w:color w:val="auto"/>
                <w:sz w:val="24"/>
                <w:lang w:eastAsia="zh-CN"/>
              </w:rPr>
            </w:pPr>
            <w:r>
              <w:rPr>
                <w:rFonts w:hint="eastAsia" w:ascii="仿宋" w:hAnsi="仿宋" w:eastAsia="仿宋" w:cs="仿宋"/>
                <w:color w:val="auto"/>
                <w:sz w:val="24"/>
              </w:rPr>
              <w:t>1.以上报价包含</w:t>
            </w:r>
            <w:r>
              <w:rPr>
                <w:rFonts w:hint="eastAsia" w:ascii="仿宋" w:hAnsi="仿宋" w:eastAsia="仿宋" w:cs="仿宋"/>
                <w:color w:val="auto"/>
                <w:sz w:val="24"/>
                <w:lang w:eastAsia="zh-CN"/>
              </w:rPr>
              <w:t>单价</w:t>
            </w:r>
            <w:r>
              <w:rPr>
                <w:rFonts w:hint="eastAsia" w:ascii="仿宋" w:hAnsi="仿宋" w:eastAsia="仿宋" w:cs="仿宋"/>
                <w:color w:val="auto"/>
                <w:sz w:val="24"/>
              </w:rPr>
              <w:t>300元以内的维修配件和保养材料费、初效、中效过滤器、全年人工服务服务费、税收综合报价等与本项目相关的所有费用。</w:t>
            </w:r>
          </w:p>
          <w:p>
            <w:pPr>
              <w:pStyle w:val="2"/>
              <w:spacing w:line="360" w:lineRule="auto"/>
              <w:rPr>
                <w:rFonts w:hint="eastAsia" w:ascii="仿宋" w:hAnsi="仿宋" w:eastAsia="仿宋" w:cs="仿宋"/>
                <w:color w:val="auto"/>
                <w:sz w:val="24"/>
                <w:lang w:eastAsia="zh-CN"/>
              </w:rPr>
            </w:pPr>
            <w:r>
              <w:rPr>
                <w:rFonts w:hint="eastAsia" w:ascii="仿宋" w:hAnsi="仿宋" w:eastAsia="仿宋" w:cs="仿宋"/>
                <w:color w:val="auto"/>
                <w:sz w:val="24"/>
              </w:rPr>
              <w:t>2.设备故障时其他维修配件材料费</w:t>
            </w:r>
            <w:r>
              <w:rPr>
                <w:rFonts w:hint="eastAsia" w:ascii="仿宋" w:hAnsi="仿宋" w:eastAsia="仿宋" w:cs="仿宋"/>
                <w:color w:val="auto"/>
                <w:sz w:val="24"/>
                <w:lang w:eastAsia="zh-CN"/>
              </w:rPr>
              <w:t>单价</w:t>
            </w:r>
            <w:r>
              <w:rPr>
                <w:rFonts w:hint="eastAsia" w:ascii="仿宋" w:hAnsi="仿宋" w:eastAsia="仿宋" w:cs="仿宋"/>
                <w:color w:val="auto"/>
                <w:sz w:val="24"/>
              </w:rPr>
              <w:t>300元以上的由采购人承担。</w:t>
            </w:r>
          </w:p>
          <w:p>
            <w:pPr>
              <w:pStyle w:val="2"/>
              <w:spacing w:line="360" w:lineRule="auto"/>
              <w:rPr>
                <w:rFonts w:ascii="仿宋" w:hAnsi="仿宋" w:eastAsia="仿宋" w:cs="仿宋"/>
                <w:color w:val="auto"/>
                <w:sz w:val="24"/>
              </w:rPr>
            </w:pPr>
            <w:r>
              <w:rPr>
                <w:rFonts w:hint="eastAsia" w:ascii="仿宋" w:hAnsi="仿宋" w:eastAsia="仿宋" w:cs="仿宋"/>
                <w:color w:val="auto"/>
                <w:sz w:val="24"/>
              </w:rPr>
              <w:t>3.空调使用淡季安排1名工程师常驻</w:t>
            </w:r>
            <w:r>
              <w:rPr>
                <w:rFonts w:hint="eastAsia" w:ascii="仿宋" w:hAnsi="仿宋" w:eastAsia="仿宋" w:cs="仿宋"/>
                <w:color w:val="auto"/>
                <w:sz w:val="24"/>
                <w:lang w:eastAsia="zh-CN"/>
              </w:rPr>
              <w:t>采购人院区</w:t>
            </w:r>
            <w:r>
              <w:rPr>
                <w:rFonts w:hint="eastAsia" w:ascii="仿宋" w:hAnsi="仿宋" w:eastAsia="仿宋" w:cs="仿宋"/>
                <w:color w:val="auto"/>
                <w:sz w:val="24"/>
              </w:rPr>
              <w:t>，空调使用旺季时安排2名工程师常驻</w:t>
            </w:r>
            <w:r>
              <w:rPr>
                <w:rFonts w:hint="eastAsia" w:ascii="仿宋" w:hAnsi="仿宋" w:eastAsia="仿宋" w:cs="仿宋"/>
                <w:color w:val="auto"/>
                <w:sz w:val="24"/>
                <w:lang w:eastAsia="zh-CN"/>
              </w:rPr>
              <w:t>采购人院区</w:t>
            </w:r>
            <w:r>
              <w:rPr>
                <w:rFonts w:hint="eastAsia" w:ascii="仿宋" w:hAnsi="仿宋" w:eastAsia="仿宋" w:cs="仿宋"/>
                <w:color w:val="auto"/>
                <w:sz w:val="24"/>
              </w:rPr>
              <w:t>，每日对以上设备进行巡检。工程师电话保持24小时开机在接到采购人报修后，15分钟响应快速应急处理并30分钟内到达现场。</w:t>
            </w: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9.单次</w:t>
      </w:r>
      <w:r>
        <w:rPr>
          <w:rFonts w:hint="eastAsia" w:ascii="仿宋" w:hAnsi="仿宋" w:eastAsia="仿宋" w:cs="仿宋"/>
          <w:color w:val="auto"/>
          <w:sz w:val="24"/>
          <w:lang w:eastAsia="zh-CN"/>
        </w:rPr>
        <w:t>单价</w:t>
      </w:r>
      <w:r>
        <w:rPr>
          <w:rFonts w:hint="eastAsia" w:ascii="仿宋" w:hAnsi="仿宋" w:eastAsia="仿宋" w:cs="仿宋"/>
          <w:color w:val="auto"/>
          <w:sz w:val="24"/>
        </w:rPr>
        <w:t>300元以下的（包括但不限于）的配件清单</w:t>
      </w:r>
    </w:p>
    <w:tbl>
      <w:tblPr>
        <w:tblStyle w:val="27"/>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511"/>
        <w:gridCol w:w="2362"/>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351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配件名称</w:t>
            </w:r>
          </w:p>
        </w:tc>
        <w:tc>
          <w:tcPr>
            <w:tcW w:w="2362"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规格</w:t>
            </w:r>
          </w:p>
        </w:tc>
        <w:tc>
          <w:tcPr>
            <w:tcW w:w="2257"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液晶温控器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水流量开关</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铜阀门</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DN20</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铜阀门</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DN40</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电动阀</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盘管</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风机电容</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盘管</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金属软接</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盘管、风柜机组</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排气阀</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DN25</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9</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风机皮带</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新风机、冷却塔</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水压表</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DN25</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温度计</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DN25</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温度传感器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交流接触器</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50A以内</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时间继电器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管道保温棉</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空开</w:t>
            </w:r>
          </w:p>
        </w:tc>
        <w:tc>
          <w:tcPr>
            <w:tcW w:w="236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100A以内</w:t>
            </w: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18</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继电器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19</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电源指示灯</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20</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螺栓</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21</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螺帽</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22</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水泵散热叶轮</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23</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管道密封胶垫</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24</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初效过滤器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25</w:t>
            </w:r>
          </w:p>
        </w:tc>
        <w:tc>
          <w:tcPr>
            <w:tcW w:w="3511"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中效过滤器</w:t>
            </w:r>
          </w:p>
        </w:tc>
        <w:tc>
          <w:tcPr>
            <w:tcW w:w="2362" w:type="dxa"/>
            <w:vAlign w:val="center"/>
          </w:tcPr>
          <w:p>
            <w:pPr>
              <w:pStyle w:val="2"/>
              <w:spacing w:line="360" w:lineRule="auto"/>
              <w:rPr>
                <w:rFonts w:ascii="仿宋" w:hAnsi="仿宋" w:eastAsia="仿宋" w:cs="仿宋"/>
                <w:color w:val="auto"/>
                <w:sz w:val="24"/>
              </w:rPr>
            </w:pPr>
          </w:p>
        </w:tc>
        <w:tc>
          <w:tcPr>
            <w:tcW w:w="2257" w:type="dxa"/>
            <w:vAlign w:val="center"/>
          </w:tcPr>
          <w:p>
            <w:pPr>
              <w:pStyle w:val="2"/>
              <w:spacing w:line="360" w:lineRule="auto"/>
              <w:rPr>
                <w:rFonts w:ascii="仿宋" w:hAnsi="仿宋" w:eastAsia="仿宋" w:cs="仿宋"/>
                <w:color w:val="auto"/>
                <w:sz w:val="24"/>
              </w:rPr>
            </w:pP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10.中央空调维修保养频次（包括但不限于以下项目）：</w:t>
      </w:r>
    </w:p>
    <w:tbl>
      <w:tblPr>
        <w:tblStyle w:val="27"/>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2870"/>
        <w:gridCol w:w="815"/>
        <w:gridCol w:w="4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序号</w:t>
            </w:r>
          </w:p>
        </w:tc>
        <w:tc>
          <w:tcPr>
            <w:tcW w:w="2870"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名称</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数量</w:t>
            </w:r>
          </w:p>
        </w:tc>
        <w:tc>
          <w:tcPr>
            <w:tcW w:w="4632"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螺杆式冷水机组</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变频离心式冷水机组</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冷水机组自控制系统</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热水锅炉</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热水锅炉自控制系统</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冷却塔清洗</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开机前清洗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水泵保养</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18</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水系统清洗</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每年加药水清洗一次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9</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风口</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3583</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新风机组</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蒸发翅片每年清洁 1 次、初效过滤器每季度更换一次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风机盘管滤网</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1082</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每年清洗 1 次、脱水盘添加防霉片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贯流式空气幕</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110</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每年清洁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膨胀水箱</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每年加药水清洗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主管水过滤器</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38</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每半年清洗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精密空调及风冷式模块机组</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运行季节每月保养一次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冷凝水排水管</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每年清洗疏通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6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18</w:t>
            </w:r>
          </w:p>
        </w:tc>
        <w:tc>
          <w:tcPr>
            <w:tcW w:w="2870"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通风管道</w:t>
            </w:r>
          </w:p>
        </w:tc>
        <w:tc>
          <w:tcPr>
            <w:tcW w:w="81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4632"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每年清洁 1 次</w:t>
            </w: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注：①以上维护保养内容不包含与设备无关的供、排水系统。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②不包含设备以外的供电系统。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③不包含总配电柜、配电箱外壳、镀锌风管等不可保养的设备。</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11.特殊区域净化设备维修保养内容：</w:t>
      </w:r>
    </w:p>
    <w:tbl>
      <w:tblPr>
        <w:tblStyle w:val="27"/>
        <w:tblW w:w="9359"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8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498"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每月定期清洗、消毒新风系统送风口及过滤网、盘管翅片消毒。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每月定期检查机组配电柜线路、交流接触器吸合情况。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每月定期检查电机皮带、电机运行电流。确保机组运行正常。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每月定期对风冷式模块机组进行检测维护。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每月定期检查净化设备运行情况，保证洁净区域温度、湿度、洁净度均符合国家规定。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供应商维护保养要按国家标准规范要求实施，按时间段每月安排工作计划进行定期维护，保存影像资料并填写月检记录表由使用科室签字后交给</w:t>
            </w:r>
            <w:r>
              <w:rPr>
                <w:rFonts w:hint="eastAsia" w:ascii="仿宋" w:hAnsi="仿宋" w:eastAsia="仿宋" w:cs="仿宋"/>
                <w:color w:val="auto"/>
                <w:sz w:val="24"/>
                <w:lang w:eastAsia="zh-CN"/>
              </w:rPr>
              <w:t>采购人</w:t>
            </w:r>
            <w:r>
              <w:rPr>
                <w:rFonts w:hint="eastAsia" w:ascii="仿宋" w:hAnsi="仿宋" w:eastAsia="仿宋" w:cs="仿宋"/>
                <w:color w:val="auto"/>
                <w:sz w:val="24"/>
              </w:rPr>
              <w:t>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86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w:t>
            </w:r>
          </w:p>
        </w:tc>
        <w:tc>
          <w:tcPr>
            <w:tcW w:w="8498" w:type="dxa"/>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工程师定期排查设备出现的异常并完成设备维修保养工作，供应商工程师电话保持24小时开机在接到采购人报修后，15分钟响应快速应急处理并30分钟内到达现场。</w:t>
            </w: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12.在维护保养期间，需对净化机组内的初、中效过滤器进行定期的检查维护工作，并视洁净程度的需要及时更换初、中效。</w:t>
      </w:r>
    </w:p>
    <w:tbl>
      <w:tblPr>
        <w:tblStyle w:val="27"/>
        <w:tblW w:w="9679"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911"/>
        <w:gridCol w:w="6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73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291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设备名称</w:t>
            </w:r>
          </w:p>
        </w:tc>
        <w:tc>
          <w:tcPr>
            <w:tcW w:w="603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w:t>
            </w:r>
          </w:p>
        </w:tc>
        <w:tc>
          <w:tcPr>
            <w:tcW w:w="2911" w:type="dxa"/>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新风机组</w:t>
            </w: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初效过滤器不超过2月更换一次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color w:val="auto"/>
                <w:sz w:val="24"/>
              </w:rPr>
            </w:pPr>
          </w:p>
        </w:tc>
        <w:tc>
          <w:tcPr>
            <w:tcW w:w="2911" w:type="dxa"/>
            <w:vMerge w:val="continue"/>
            <w:vAlign w:val="center"/>
          </w:tcPr>
          <w:p>
            <w:pPr>
              <w:pStyle w:val="2"/>
              <w:spacing w:line="360" w:lineRule="auto"/>
              <w:jc w:val="center"/>
              <w:rPr>
                <w:rFonts w:ascii="仿宋" w:hAnsi="仿宋" w:eastAsia="仿宋" w:cs="仿宋"/>
                <w:color w:val="auto"/>
                <w:sz w:val="24"/>
              </w:rPr>
            </w:pP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亚高效过滤器一年更换一次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color w:val="auto"/>
                <w:sz w:val="24"/>
              </w:rPr>
            </w:pPr>
          </w:p>
        </w:tc>
        <w:tc>
          <w:tcPr>
            <w:tcW w:w="2911" w:type="dxa"/>
            <w:vMerge w:val="continue"/>
            <w:vAlign w:val="center"/>
          </w:tcPr>
          <w:p>
            <w:pPr>
              <w:pStyle w:val="2"/>
              <w:spacing w:line="360" w:lineRule="auto"/>
              <w:jc w:val="center"/>
              <w:rPr>
                <w:rFonts w:ascii="仿宋" w:hAnsi="仿宋" w:eastAsia="仿宋" w:cs="仿宋"/>
                <w:color w:val="auto"/>
                <w:sz w:val="24"/>
              </w:rPr>
            </w:pP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中效过滤器不超过3月更换一次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color w:val="auto"/>
                <w:sz w:val="24"/>
              </w:rPr>
            </w:pPr>
          </w:p>
        </w:tc>
        <w:tc>
          <w:tcPr>
            <w:tcW w:w="2911" w:type="dxa"/>
            <w:vMerge w:val="continue"/>
            <w:vAlign w:val="center"/>
          </w:tcPr>
          <w:p>
            <w:pPr>
              <w:pStyle w:val="2"/>
              <w:spacing w:line="360" w:lineRule="auto"/>
              <w:jc w:val="center"/>
              <w:rPr>
                <w:rFonts w:ascii="仿宋" w:hAnsi="仿宋" w:eastAsia="仿宋" w:cs="仿宋"/>
                <w:color w:val="auto"/>
                <w:sz w:val="24"/>
              </w:rPr>
            </w:pP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新风过滤网每月清洗一次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w:t>
            </w:r>
          </w:p>
        </w:tc>
        <w:tc>
          <w:tcPr>
            <w:tcW w:w="2911" w:type="dxa"/>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循环净化机组</w:t>
            </w: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初效过滤器不超过3个月更换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color w:val="auto"/>
                <w:sz w:val="24"/>
              </w:rPr>
            </w:pPr>
          </w:p>
        </w:tc>
        <w:tc>
          <w:tcPr>
            <w:tcW w:w="2911" w:type="dxa"/>
            <w:vMerge w:val="continue"/>
            <w:vAlign w:val="center"/>
          </w:tcPr>
          <w:p>
            <w:pPr>
              <w:pStyle w:val="2"/>
              <w:spacing w:line="360" w:lineRule="auto"/>
              <w:jc w:val="center"/>
              <w:rPr>
                <w:rFonts w:ascii="仿宋" w:hAnsi="仿宋" w:eastAsia="仿宋" w:cs="仿宋"/>
                <w:color w:val="auto"/>
                <w:sz w:val="24"/>
              </w:rPr>
            </w:pP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中效过滤器不超过6个月更换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color w:val="auto"/>
                <w:sz w:val="24"/>
              </w:rPr>
            </w:pPr>
          </w:p>
        </w:tc>
        <w:tc>
          <w:tcPr>
            <w:tcW w:w="2911" w:type="dxa"/>
            <w:vMerge w:val="continue"/>
            <w:vAlign w:val="center"/>
          </w:tcPr>
          <w:p>
            <w:pPr>
              <w:pStyle w:val="2"/>
              <w:spacing w:line="360" w:lineRule="auto"/>
              <w:jc w:val="center"/>
              <w:rPr>
                <w:rFonts w:ascii="仿宋" w:hAnsi="仿宋" w:eastAsia="仿宋" w:cs="仿宋"/>
                <w:color w:val="auto"/>
                <w:sz w:val="24"/>
              </w:rPr>
            </w:pP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手术室内部回风滤网每周五清洗一次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735"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w:t>
            </w:r>
          </w:p>
        </w:tc>
        <w:tc>
          <w:tcPr>
            <w:tcW w:w="2911"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手术部高效过滤器</w:t>
            </w:r>
          </w:p>
        </w:tc>
        <w:tc>
          <w:tcPr>
            <w:tcW w:w="6033" w:type="dxa"/>
            <w:vAlign w:val="center"/>
          </w:tcPr>
          <w:p>
            <w:pPr>
              <w:pStyle w:val="2"/>
              <w:spacing w:line="360" w:lineRule="auto"/>
              <w:rPr>
                <w:rFonts w:ascii="仿宋" w:hAnsi="仿宋" w:eastAsia="仿宋" w:cs="仿宋"/>
                <w:color w:val="auto"/>
                <w:sz w:val="24"/>
              </w:rPr>
            </w:pPr>
            <w:r>
              <w:rPr>
                <w:rFonts w:hint="eastAsia" w:ascii="仿宋" w:hAnsi="仿宋" w:eastAsia="仿宋" w:cs="仿宋"/>
                <w:color w:val="auto"/>
                <w:sz w:val="24"/>
              </w:rPr>
              <w:t>高效过滤器根据每季度检测结果判断是否更换，如果检测结果不合格供应商及时更换，合格情况下2年更换一次高效过滤器，PCR实验室排风高效应1年一换。超过使用年限及时更换。每月清洗新风入口过滤网，并在更换后对相应指标进行检测调整，保证各项指标符合规范要求</w:t>
            </w:r>
          </w:p>
        </w:tc>
      </w:tr>
    </w:tbl>
    <w:p>
      <w:pPr>
        <w:pStyle w:val="2"/>
        <w:spacing w:line="360" w:lineRule="auto"/>
        <w:ind w:firstLine="482" w:firstLineChars="200"/>
        <w:outlineLvl w:val="1"/>
        <w:rPr>
          <w:rFonts w:ascii="仿宋" w:hAnsi="仿宋" w:eastAsia="仿宋" w:cs="仿宋"/>
          <w:color w:val="auto"/>
          <w:sz w:val="24"/>
        </w:rPr>
      </w:pPr>
      <w:r>
        <w:rPr>
          <w:rFonts w:hint="eastAsia" w:ascii="仿宋" w:hAnsi="仿宋" w:eastAsia="仿宋" w:cs="仿宋"/>
          <w:b/>
          <w:bCs w:val="0"/>
          <w:color w:val="auto"/>
          <w:sz w:val="24"/>
        </w:rPr>
        <w:t>★四、维护保养细则</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（一）维保服务标准及保证：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严格按照国家相关规范及设备厂家维护保养手册。</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1.安全保证：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维保期内，保证所维护保养的设备设施安全运行。对操作人员有培训和监督执行操作规定的责任。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2.质量保证: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中央空调维保需保证设备设施处于安全正常状态。每季度提前向采购人提交保养预排表，内容要包含区间位置、保养时段等，以便提前安排工作。日常保养时间由采购人根据实际情况决定，保养工作时间内不能时间过长，错开使用高峰时间，尽量安排在夜间或周末进行。每月对维保范围内的设备设施进行一次维护保养，日、月、季度、年度检查要落实并有相关记录。</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特殊区域净化设备维保需保证设备设施处于安全正常状态。每季度提前向采购人提交保养预排表，内容要包含区间位置、保养时段等，以便提前安排工作。日常保养时间由供应商方根据实际情况决定，保养工作时间内不能时间过长，错开使用高峰时间，尽量安排在夜间或周末进行。每月对维保范围内的设备设施进行一次维护保养，月、季度、年度检查要落实并有相关记录。每间手术室、辅助用房建立维保档案，对原始技术资料、维保记录、修理记录、零件更换记录进行登记管理。要从设备设施长期可持续安全运行的角度出发，进行组织计划维修工作。保证洁净手术室的技术指标达到相应的要求。</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（3）技术力量保证: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派遣1-2名有熟练处理各种故障的能力维修工程师从事维修、保养及设备管理服务。如果采购人有重大活动时，应根据采购人要求加大现场的监护力度。供应商必须配备有专业工具和清洗机、风速仪、压差仪等。其间如因为安全、文明、规范操作给采购人人员及其他人员造成的一切不良后果，均由供方及当事人承担相关责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（4）维保制度保证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①明确对现场维保管理人员的岗位职责和定期业务学习与培训制度。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②巡回检查制度。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③维护和保养制度。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④检测与修理制度和运行与检修记录。</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（5）特殊区域净化设备监测、检测</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视当地环境和手术室的使用频率，每2-3年更换高效过滤器一次，并由维护单位检测，合格后出具检测报告。</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（二）服务内容明细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A、月检及换季保养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一、中央空调主机系统：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1、空调主机运行时，氟系统压力的参数测量；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2、开机时压缩机运转电流三相平衡情况及电流具体数值检测；</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3、测量压缩机运转时噪声有无金属异响，判断轴承及机头工作情况，如有异常及时调整；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4、测量压缩机工作时电压数值，是否符合国家标准；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5、通过油窗外观检查机油颜色，记录数据；</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6、检查压缩机油压、油温数据值，对应调校传感器，如有异常及时维修；</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7、观测压缩机机油过滤器行运时间及压差数值，超过标准值时，进行更换；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8、空调压缩机接线端子紧固检查，如有松动用标准力矩紧固；</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9、测量传感器、感温控头数据，参数有异常，及时维修处理；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10、检查主机接头各螺丝有无松动及泄漏，并及时紧固；</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11、主机电控接触器、触头及灭弧罩的检查及测量；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12、触摸屏外观检查，操作面板接触是否灵敏等；</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13、检查空调主机氟系统制冷剂有无泄漏；是否需要补充制冷剂；</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14、检查干燥过滤器，干燥剂吸潮后应进行干燥处理或更换；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15、检查空调冷凝器壳管内铜管换热器内壁结垢情况，如结垢严重需及时通套；</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16、检查空调蒸发器壳管内有无异物堵塞，影响水流及时通套。</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二、末端设备系统：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1、测量风机盘管及风柜出风大小数值；</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2、检查风机盘管及风柜回风过滤网是否通畅无异物，及时清理；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3、测量出风温度，根据现场工况及环境温度判断出风温度是否正常；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4、检查风机盘管及风柜电机轴承，有无松动及卡滞异响；</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5、检查风机盘管及风柜翅片积尘情况，风量不够，及时清理；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6、检查盘管及风柜各机组电动阀运转有无异常；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7、盘管风叶外观检查，如有变形、破损及时进行动平衡校正；</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8、检查盘管接线盒有无松动、发热、虚接情况并紧固各接插件；</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9、检查温度控制器操作面板按键是否失灵；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10、检查并清洁控制柜内外的灰尘及脏物；</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11、检查盘管吊架及丝杆紧固、锈蚀情况，如有异常及时维修处理。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三、循环水系统：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1、检查水系统中有无空气，是否需要排气，避免气蚀发生，减少磨损；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2、检查回水、出水温度，根据现场情况判断数据公差是否正常；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3、观测保温系统有无开裂、破损、老化等现象；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4、检查水流量保护开关动作灵活可靠，避免卡滞误动作；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5、拆装清水洗循环水系统中过滤器及过滤网。</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四、送、回风系统：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1、检查风系统管道有无破损，产生漏风；</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2、检查风系统保温有无破损，漏水现象；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3、进回风软接是否牢固，风道内是否有异物，影响风速及流量；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4、检测风管阀门是否开启灵活可靠。</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五、电控系统：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1、测试调整空调主机相序保护器；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2、测量空调主机空气开关、交流接触器、热保护器是否良好；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3、检测控制柜内各电器元件工作是否正常或接触是否良好；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4、检查末端电控系统工作是否正常； </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5、检查温控器工作是否正常。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六、冷却塔系统：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1、冷却塔集水盘内是否有污物，及时清理；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2、检查冷却塔风机风叶是否变形，有无外观破，轴承有无缺油情况；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3、检查冷却塔减速器电机轴承工作是否正常；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4、检查冷却塔风机皮带张度及磨损情况，及时调整或更换；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5、冷却塔分水盘内疏通孔道，保证水流分布均匀，流速合适；</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6、检查布水片外观结垢及分布情况，保证水流分布均匀，散热良好；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7、冷却塔主体牢固、锈蚀、密封检查；</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8、检查冷却塔及膨胀水箱水位并调节浮球阀开度；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9、检查冷却塔水盘是否有漏水现象；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10、检查冷却塔是否滋生藻类。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七、新风系统：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1、检查新风系统管道有无破损；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2、检查新风柜电机电流是否正常；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3、检查新风柜电机电压是否正常；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4、检查新风柜电机轴承是否工作异常；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5、检查新风柜电机皮带张力是否正常；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6、检查新风柜电机叶轮动平衡；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7、检查新风风速及风压是否正常；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8、检查新风风柜风门开启动是否灵敏；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9、检查新风过滤网是否脏堵，清洗过滤网。</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八、冷凝排水系统：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 检查盘管及排水管水平度，如有排水不畅,及时调整；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2、检查冷凝水盘是否溢流及冷凝水管排水是否畅通,清洁水盘及畅通冷凝水管;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3、检查盘管及风柜接水盘是否锈蚀漏水，如有及时疏通或更换。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九、泵阀系统：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1、检查水泵密封圈密封性能好坏，根据磨损情况及时更换；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2、检查水泵轴承间隙大小，同轴度及润滑脂好坏；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3、检查水泵电机叶轮动平衡，有无外观变形异物等，影响运转；</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4、检查水泵电机电流、电压值是否正常；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5、检查水泵电机绝缘性能，摇表测量具体参数，判断数据是否正常；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6、检查水泵运行噪声和振动，是否正常；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7、检测水泵接触器、线圈、触点、接头等；</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8、检查管道阀门开启灵敏度及泄漏，密封性能；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9、检测水泵密封圈有无变形；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10、检查法兰连结处是否渗漏；</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11、检查阀门是否有破裂或开闭失效。</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十、燃气热水锅炉系统：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1、燃料供应管路系统：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1）、点火煤气管路气密性检查；</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2）、检查管路是否通畅。</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2、各仪器仪表装置：</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1）、水位表冲洗；</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2）、压力表弯管冲洗。</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3、燃烧器系统：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1）、火焰检测器（电眼）清扫受光面；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2）、检查燃烧火焰是否正常；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3）、检查燃烧时，燃烧器声音是否有异常。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4、进水系统：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1）、清洗水过滤器；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2）、检查止回阀工作是否正常；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3）、补水箱排水及清扫杂物。</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5、电器系统部分：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1）、检查线路是否有松动、老化、失灵；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2）、检查电器元件是否可靠、过载；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3）、检查电器保护装置是否正常。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B、年度大型维护保养内容：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1、根据主机压缩机运行时间及冷冻油油质分析，及时对冷冻油及过滤器进行更换；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2、主机房内冷冻及冷却水管道、阀门防锈及润滑处理；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3、管道循环水泵电机轴承润滑处理；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4、冷冻及冷却水循环管道专业清洗；</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5、冷却塔电机轴承润滑处理；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6、冷却塔电机皮带张松调整及更换；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7、冷却塔集水盆水质处理；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8、冷却塔室外管道阀门润滑处理；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9、室内未端盘管及风柜过滤网清洗消毒；</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10、燃气锅炉保养：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10.1.燃烧器部分：全面清理点火装置、过滤器、电机及叶轮系统，对风门连杆机构加润滑剂。对燃烧情况重新给予检测。</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10.2.控制部分：检修及检测电器元件、检査控制线路，清理控制箱集灰，每个控制点进行检测。</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10.3.主机部分：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10.3.1全面清理烟管、水管、前后烟箱、炉膛部分及燃尽空及烟管集灰；</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10.3.2及时更换有缺陷的密封垫；</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10.3.3全面检测仪表、阀门，包括压力表、压力控制器及电极水位控制器。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（二）特殊区域净化设备维保具体工作内容：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手术室具体维保的工作内容包括：模块机组系统、洁净空调系统、排风系统、气密自动门门控系统、医气系统、净化空调机组、模块机风机、PLC可编程智能控制系统。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（三）净化组合式空调机组维保内容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1.净化组合式空调机组的年度保养内容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1.2.检查风机电机轴承运行情况，添加润滑油，必查时进行更换。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1.3.检查风机电机绝缘情况；检查风机电源及各接线端。</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1.4.检查并调整风机皮带，必要时进行更换。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1.5.检查、调整风机的运转使不产生不正常的震动及噪音。</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1.6.检查柜体表面，做好防腐处理；检查吊架情况，使风柜安装良好。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1.7.用专业清洁剂清洗风柜内表面、散热翅片；清理风机叶轮、凝水盘。</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1.8.检查机组换热情况，检查阀门管道的堵塞情况，必要时进行换热管道的疏通清洗工作。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1.9.检查电极加湿器的工作状态、加湿量与信号模量的比例关系是否正常。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1.10.检查加湿器桶内的结垢情况和电极的腐蚀状态，必要时需要进行更换。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1.11.检查比例积分阀的运行情况。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1.12.检查机组保温情况，避免冷凝漏水。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1.13.检查机组内的初中、效过滤器、亚高效过滤器的工作情况，如过滤器的阻力偏高或有破损的情况，应立即进行更换。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1.14.建立设备维保档案，填写设备维修保养记录卡；呈交以上所有项目的年度维护工作报告书。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2.净化组合式空调机组的月度保养内容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2.1.检查风机电机轴承运行情况，添加润滑油，必查时进行更换。检查风机电机绝缘情况；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2.2.检查电机电源及各接线端是否松动、电机各相电流。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2.3.检查并调整风机皮带松紧程度，必要时进行更换。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2.4.检查、调整风机的运转使之不产生不正常的震动及噪音。</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2.5.检查柜体表面，做好防腐处理；检查机架情况，使风柜安装良好。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2.6.用专业清洁剂清洗风柜内表面、散热翅片；清理风机叶轮、凝水盘。</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2.7.检查机组换热情况，检查阀门管道的堵塞情况，必要时进行换热管道的疏通清洗工作。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2.8.检查电极加湿器的工作状态、加湿量与信号模量的比例关系是否正常，桶内的水位情况，排水是否通畅，相间电流是否平衡并及时维护。</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2.9.检查加湿器桶内的结垢情况和电极的腐蚀状态，必要时需要进行更换。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2.10.检查比例积分阀的运行情况。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2.11.检查机组保温情况并及时修复，避免冷凝漏水。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2.12.检查机组内的初中、效过滤器、亚高效过滤器的工作情况，如过滤器的阻力偏高或有破损的情况，应立即进行更换。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2.13.检查机组内杀菌装置是否正常，如有损坏应立即更换。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2.14.每半年清洁一次热交换器的翅片，肋片有压倒的要用弛梳梳好。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2.15.建立设备维保档案，填写设备维修保养记录卡；呈交以上所有项目的月度维护工作报告书。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3.模块机风机的维保内容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3.1.风机的年度保养工作内容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3.2.检查风机电机轴承运行情况，添加润滑油，必要时进行更换。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3.3.检查风机电机绝缘情况；检查风机电源及各接线端。</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3.4.检查风机的运转电流是否正常。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3.5.检查风机表面，做好防腐处理；检查吊架情况，使风柜安装良好。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3.6.清理风机叶轮。</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3.7.检查、调整风机的运转使不产生不正常的震动及噪音。</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3.8.建立设备维保档案，填写设备维修保养记录卡；呈交以上所有项目的年度维护工作报告书。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3.9.风机的月度保养内容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3.10.检查风机电机轴承运行情况。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3.11.检查风机电机绝缘情况。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3.12.检查、调整风机的运转使不产生不正常的震动及噪音。</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3.13.建立设备维保档案，填写设备维修保养记录卡；呈交以上所有项目的月度维护工作报告书。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4.净化空调风循环系统维保内容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4.1.定期检查风管道与设备间的软连接是否紧密和有无破损的情况，如有松动应及时紧固，必要时应进行更换。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4.2.定期清洗新风机组、循环机组的初中效过滤器、回风口、排风口并进行记录</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4.3.定期进行中效压差检查，及时更换风阻超过要求及破损的过滤器。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4.4.定期对防火阀、电动密闭阀、风量阀、定风量阀及手动阀的检查、维护。对动作不灵的要修理或更换各组件,各种风阀检查密封性、灵活性、稳固性和开启的准确性,及时进行润滑和堵漏保养。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4.5.每半年检测一次系统中电加热器阻值，更换老化的电热片，并根据检测数据进行保养维修或更换；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4.6.检查风管绝热层，如有超温、老化、破损须及时修补或更换；并积极做好保温材料的维护。</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4.7.检查送排静压箱及送风装置，静压箱应密封严密，保温良好，口面风速均匀合理。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4.8.系统的支吊构件检查、修复、除锈刷漆支吊构件必须牢固，及时修复和紧固。锈蚀的要除锈刷漆处理。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4.9.定期检查高效过滤器的密封口处是否漏风和过滤器的是否破损，并根据高效过滤器的阻力判断是否需要更换。一般建议1-2年更换一次。每次更换过滤器时，应对静压箱的内表面进行清洁。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4.10.检查净化空调风管道的清洁程度，必要时应对其表面进行机器人除尘清扫。</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5.六联板空调控制系统维保内容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5.1.检查空调控制系统、时钟、计时钟、温、湿度显示器、情报面板系统的正常工作。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5.2.检查监控器显示值与设定值的符合性，包括各区的正压值、梯度监控记录；远控面板控制开关灵活，接触器无打火现象，接线端子牢固，电路板无尘。每天查看历史记录，及时分析报警记录、处置与报告，尽早发现运行中的各种异常或事故，做出趋势分析和降低潜在的风险。</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5.3.检查背景音乐系统、呼叫系统工作时无噪音,是否满足使用要求。</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5.4.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5.5.定期检查及修复弱电系统管线，保证线管完整、牢固、线路整洁，杜绝鼠类进入线管或桥架。定期检测电路绝缘性，紧固接线头，应保持接触牢固并做好线路的保养工作。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5.6.定期清洁设备层，确保室内无积水，钢结构无锈，新风口保持清洁、牢固，做到机房内干燥、通风、清洁、无灰尘、异物。</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6.可编程PLC控制系统维保内容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6.1.断开控制柜总电源，检查各转换开关，启动、停止按钮动作应灵活可靠。检查柜内空气开关、接触器、继电器等电器是否完好，紧固各电器接触线头和接线端子的接线螺丝。</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6.2.检测器件(温度计、压力表、传感器、执行器)维修保养：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6.3.对于读数模糊不清的温度计、压力表应拆换；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6.4.送检温度计、压力表合格后方可再使用；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6.5.检测温度、湿度、压力传感器参数是否正常，并做模拟实验，对于不合格的传感器应拆换；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6.6.检查装检测器的部位是否渗漏，如渗漏则应更换密封胶垫。</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6.7.检查各执行器的工作状态，有控制信号而不动作时，需进行更换。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6.8.控制部分维修保养：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6.9.清洁控制柜内外的灰尘、脏物；</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6.10.检查、紧固所有接线头，对于烧蚀严重的接线头应更换；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6.11.交流接触器维修保养：清除灭弧罩内的碳化物和金属颗粒；</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6.12.清除触头表面及四周的污物(但不要修锉触头)，如触头烧蚀严重则应更换同规格交流接触器；清洁铁芯上的灰尘及脏物；拧紧所有紧固螺栓。</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6.13.热继电器维修保养：检查热继电器的导线接头处有无过热或烧伤痕迹，如有则应整修处理，处理后达不到要求的应更换；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6.14.检查热继电器上的绝缘盖板是否完整，如损坏则应更换。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6.15.自动空气开关维修保养：用500V摇表测量绝缘电阻应不低于0.5MΩ，否则应烘干处理；清除灭弧罩内的碳化物或金属颗粒，如灭弧罩损坏则应更换；清除触头表面上的小金属颗粒(不要修锉)。</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6.16信号灯、指示仪表维修保养：检查各信号灯是否正常，如不亮则应更换同规格的小灯泡；检查各指示仪表指示是否正确，如偏差较大则应作适当调整，调整后偏差仍较大应更换。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6.17.中间继电器、信号继电器维修保养：对中间继电器、信号继电器做模拟实验，检查二者的动作是否可靠，输出的信号是否正常，否则应更换同型号的中间继电器、信号继电器；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7.冷热源设备（热泵模块机组）维保内容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7.1.泵模块机组年度维保：</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检查机组制冷剂的充注量，检查接口是否存在泄漏，对有泄漏的机组应该查出漏点进行有效处理，必要时转移制冷剂，对蒸发器进行加氮加压检漏，处理漏点后抽湿抽真处理并保负压。对制冷不足的机组进行充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7.3.检查冷冻油量、油色、必要时更换冷冻机油并清理油腔。检查机组运行时的油压，检查油过滤器，必要时进行更换。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7.4.检查机组干燥过滤器，必要时进行更换。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7.5.检测机组压缩机电机、电磁阀线圈、冷凝器风机电机的绝缘情况，检查各电磁阀的工作情况。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7.6.检查清理控制柜，检查各接触器]、继电器、检查各接线端。</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7.7.检测机组控制保护装置的运行情况；根据运行情况对控制系统进行调整。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7.8.检查冷凝器风机电机轴承，进行加油润滑。</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7.9.检查冷冻水泵运行情况，并加油润滑。</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7.10.检查冷凝器翅片的积尘情况，必要时进行清洗或更换翅片。</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7.11.建立设备维保档案，填写设备维修保养记录表；呈交以上所有项目的年度维保工作报告书。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7.12.热泵机组每月定期保养内容：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7.13.检查冷冻油的润滑情况是否正常。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7.14.制冷剂循环系统检查：检查机组吸气压力、制冷剂蒸发温度是否正常；检查机组排气压力、排气温度和制冷剂冷凝温度是否正常。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7.15.水系统检查：检查冷冻水进出水压力、压差及温度、温差是否在正常范围。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7.16.检查冷冻水泵运行情况。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7.17.检查机组各保护控制装置并对各保护参数进行校对、调整。</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7.18.检查压缩机电机、室内外风机电机的运行情况，并检测其线圈绝缘情况。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7.19.检查机组各电磁阀、膨胀阀的运行情况。</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7.20.检查并清理电路的各接触器、继电器及微电脑控制系统。</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7.21.检查冷凝风机运转情况，检查及清理翅片积尘。</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7.22.检查校正各控制设定值。</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7.23.检查机组压缩机电机的工作电压、电流及工作温度是否正常。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7.24.对机组及控制元件进行外观检查。</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7.25.建立设备维保档案，填写设备维修保养记录卡；呈交以上所有项目的月度维保工作报告书。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8.空调水泵月度保养内容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8.1.空调水泵月度保养工作内容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8.2.检测轴承及泵叶的磨损程度；检查轴承温度及是否存在异响，必要时进行更换；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8.3.按要求加注润滑油脂，使设备润滑良好。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8.4.检查联轴器急轮胶的震动及磨损情况，必要时进行更换；校正对轴性使水泵电机达到运转平衡。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8.5.检查水泵运行时是否有漏水现象，必要时调整密封或更换。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8.6.检测电机的绝缘电阻；检查水泵启动柜的各个开关、接触器、接线端、触点、电压表、电流表的工作情况，进行去尘、清理、加固等必要保养工作。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8.7.检查各阀门、止回阀、水锤汲纳器、软接、Y型过滤器等附件的运行性能，并进行保养调整；检测、校对各温度表、压力表。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8.8.检查水泵的运转电压与运转电流是否正常；检查水泵运转时的进出水压力是否正常。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8.9.检查水泵外观、对机体、支座支架除锈并作防锈处理。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8.10.建立设备维保档案，填写设备维修保养记录卡；呈交以上所有项目的年度维保工作报告书。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8.11.空调水泵月保养内容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8.12.检查轴承温度及是否存在异响，必要时进行更换；按要求加注润滑油脂，使设备润滑良好。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8.13.检查联轴器急轮胶的震动及磨损情况，必要时进更换；校正对轴性使水泵电机达到运转平衡。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8.14.检查各阀门、止回阀、水锤吸纳器、软接、Y型过滤器等附件的运行性能，并进行保养调整；检测、校对各温度表、压力表。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8.15.检查水泵运行时是否有漏水现象，必要时调整密封或更换。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8.16.建立设备维保档案，填写设备维修保养记录卡；呈交以上所有项目的季度维保工作报告书。</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9.空调冷热水系统维保内容</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9.1.检查冷却水是否清洁，若不清洁应全部更换和管道加药除水垢；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9.2.检查膨胀水箱补水浮球阀是否正常；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9.3.检查系统阀门有无渗漏，并进行修复，必要时需更换。</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9.4.水系统中的水过滤器要三个月拆开清洁一次。</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9.5.半年检查一次水管保温层或保护层，脱落或破损的要补好，开胶的要重新粘好。</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9.6.检查系统中压差调节阀是否正常。</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9.7.膨胀水箱内要一年清洁一次，并对箱体及钢结构基座进行一次除锈刷漆；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9.8.一年检查一次水管系统的支撑构件，损坏的要修复，松动的要紧固，锈腐的要除锈刷漆。</w:t>
      </w:r>
    </w:p>
    <w:p>
      <w:pPr>
        <w:pStyle w:val="2"/>
        <w:spacing w:line="360" w:lineRule="auto"/>
        <w:ind w:firstLine="482" w:firstLineChars="200"/>
        <w:outlineLvl w:val="1"/>
        <w:rPr>
          <w:rFonts w:ascii="仿宋" w:hAnsi="仿宋" w:eastAsia="仿宋" w:cs="仿宋"/>
          <w:color w:val="auto"/>
          <w:sz w:val="24"/>
        </w:rPr>
      </w:pPr>
      <w:r>
        <w:rPr>
          <w:rFonts w:hint="eastAsia" w:ascii="仿宋" w:hAnsi="仿宋" w:eastAsia="仿宋" w:cs="仿宋"/>
          <w:b/>
          <w:bCs w:val="0"/>
          <w:color w:val="auto"/>
          <w:sz w:val="24"/>
        </w:rPr>
        <w:t>★五、维保配置与应急处理</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1、人员配备</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1.1.项目负责人：1名，主要负责该项目服务的管理，服务人员的安排，以及该项目的应急措施的工作。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1.2.维护人员：1-2名，常驻医院主要负责该项目维保服务，设备性能的技术分析鉴定，设备维保报告，以及该项目设备的应急措施的维修工作。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1.3.为保证本项目能得到有效的技术支持，供应商拟配备本项目服务人员具有国家政府相关职能管理部门颁发的制冷设备维修工证或制冷设备安装修理作业证。提供证书影印件人员为</w:t>
      </w:r>
      <w:r>
        <w:rPr>
          <w:rFonts w:hint="eastAsia" w:ascii="仿宋" w:hAnsi="仿宋" w:eastAsia="仿宋" w:cs="仿宋"/>
          <w:color w:val="auto"/>
          <w:sz w:val="24"/>
          <w:lang w:eastAsia="zh-CN"/>
        </w:rPr>
        <w:t>成交后</w:t>
      </w:r>
      <w:r>
        <w:rPr>
          <w:rFonts w:hint="eastAsia" w:ascii="仿宋" w:hAnsi="仿宋" w:eastAsia="仿宋" w:cs="仿宋"/>
          <w:color w:val="auto"/>
          <w:sz w:val="24"/>
        </w:rPr>
        <w:t>驻扎医院</w:t>
      </w:r>
      <w:r>
        <w:rPr>
          <w:rFonts w:hint="eastAsia" w:ascii="仿宋" w:hAnsi="仿宋" w:eastAsia="仿宋" w:cs="仿宋"/>
          <w:color w:val="auto"/>
          <w:sz w:val="24"/>
          <w:lang w:eastAsia="zh-CN"/>
        </w:rPr>
        <w:t>的</w:t>
      </w:r>
      <w:r>
        <w:rPr>
          <w:rFonts w:hint="eastAsia" w:ascii="仿宋" w:hAnsi="仿宋" w:eastAsia="仿宋" w:cs="仿宋"/>
          <w:color w:val="auto"/>
          <w:sz w:val="24"/>
        </w:rPr>
        <w:t>工作人员</w:t>
      </w:r>
      <w:r>
        <w:rPr>
          <w:rFonts w:hint="eastAsia" w:ascii="仿宋" w:hAnsi="仿宋" w:eastAsia="仿宋" w:cs="仿宋"/>
          <w:color w:val="auto"/>
          <w:sz w:val="24"/>
          <w:lang w:val="en-US" w:eastAsia="zh-CN"/>
        </w:rPr>
        <w:t>。</w:t>
      </w:r>
      <w:r>
        <w:rPr>
          <w:rFonts w:hint="eastAsia" w:ascii="仿宋" w:hAnsi="仿宋" w:eastAsia="仿宋" w:cs="仿宋"/>
          <w:color w:val="auto"/>
          <w:sz w:val="24"/>
        </w:rPr>
        <w:t>（提供相应证书影印件予以佐证）</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2、建立维保档案</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2.1.确定设备日常维保内容，建立设备日常维保档案。对每次设备日常维保内容进行详细记录，并提交给用户。</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2.2.对日常维护的设备的性能应进行技术分析，以便确定该设备或配件是否需要进行维修、更换，同时将技术分析报告。</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3、常用配件的库存和工具的备用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3.1.为了确保该项目的服务及时性和设备的正常运行，在对该项目的设备进行调查了解后，对那些易损配件应进行同等型号、规格零配件库存。</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3.2.确保该项目的服务工具、检查仪器在任何时间均能正常使用，同时作好工具的备用工作。</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4、建立突发事故的应急处理机制</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收到现场维保人员的信息后，项目负责人应根据信息描述，立即召集相关工程技术人员成立应急小组，对产生的事故原因进行分析，并拿出解决事故的初步方案；同时派遣技术人员在2小时内赶到现场，根据初步方案对故事设备进行控制或维修，并把现场的实际情况反应回应急小组。应急小组在最短的时间内拿出最终解决事故方案、解决事故的时间；并及时提交用户。维修完成后，及时提交维修报告与用户。</w:t>
      </w:r>
    </w:p>
    <w:p>
      <w:pPr>
        <w:pStyle w:val="2"/>
        <w:spacing w:line="360" w:lineRule="auto"/>
        <w:ind w:firstLine="480" w:firstLineChars="200"/>
        <w:outlineLvl w:val="1"/>
        <w:rPr>
          <w:rFonts w:ascii="仿宋" w:hAnsi="仿宋" w:eastAsia="仿宋" w:cs="仿宋"/>
          <w:color w:val="auto"/>
          <w:sz w:val="24"/>
        </w:rPr>
      </w:pPr>
      <w:r>
        <w:rPr>
          <w:rFonts w:hint="eastAsia" w:ascii="仿宋" w:hAnsi="仿宋" w:eastAsia="仿宋" w:cs="仿宋"/>
          <w:color w:val="auto"/>
          <w:sz w:val="24"/>
        </w:rPr>
        <w:t>★六、运行管理巡查规范</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1、每月对临时的维护、修理任务做好充分的准备工作，并对临时的修理任务做好记录。</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2、对每月维护、保养的设备有重大的质量隐患要以书面的形式立即报告</w:t>
      </w:r>
      <w:r>
        <w:rPr>
          <w:rFonts w:hint="eastAsia" w:ascii="仿宋" w:hAnsi="仿宋" w:eastAsia="仿宋" w:cs="仿宋"/>
          <w:color w:val="auto"/>
          <w:sz w:val="24"/>
          <w:lang w:eastAsia="zh-CN"/>
        </w:rPr>
        <w:t>采购人</w:t>
      </w:r>
      <w:r>
        <w:rPr>
          <w:rFonts w:hint="eastAsia" w:ascii="仿宋" w:hAnsi="仿宋" w:eastAsia="仿宋" w:cs="仿宋"/>
          <w:color w:val="auto"/>
          <w:sz w:val="24"/>
        </w:rPr>
        <w:t>的使用科室或后勤保障部，同时上报公司的售后服务部。</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3、更换材料记录表及售后服务回访记录表等资料，由使用科室或后勤保障部确认，交使用科室,后勤保障部各一份。</w:t>
      </w:r>
    </w:p>
    <w:p>
      <w:pPr>
        <w:pStyle w:val="2"/>
        <w:spacing w:line="360" w:lineRule="auto"/>
        <w:ind w:firstLine="480" w:firstLineChars="200"/>
        <w:outlineLvl w:val="1"/>
        <w:rPr>
          <w:rFonts w:ascii="仿宋" w:hAnsi="仿宋" w:eastAsia="仿宋" w:cs="仿宋"/>
          <w:color w:val="auto"/>
          <w:sz w:val="24"/>
        </w:rPr>
      </w:pPr>
      <w:r>
        <w:rPr>
          <w:rFonts w:hint="eastAsia" w:ascii="仿宋" w:hAnsi="仿宋" w:eastAsia="仿宋" w:cs="仿宋"/>
          <w:color w:val="auto"/>
          <w:sz w:val="24"/>
        </w:rPr>
        <w:t>★七、考核办法</w:t>
      </w:r>
    </w:p>
    <w:p>
      <w:pPr>
        <w:pStyle w:val="2"/>
        <w:spacing w:line="360" w:lineRule="auto"/>
        <w:ind w:firstLine="482" w:firstLineChars="200"/>
        <w:rPr>
          <w:rFonts w:ascii="仿宋" w:hAnsi="仿宋" w:eastAsia="仿宋" w:cs="仿宋"/>
          <w:color w:val="auto"/>
          <w:sz w:val="24"/>
        </w:rPr>
      </w:pPr>
      <w:r>
        <w:rPr>
          <w:rFonts w:ascii="仿宋" w:hAnsi="仿宋" w:eastAsia="仿宋" w:cs="仿宋"/>
          <w:b/>
          <w:bCs w:val="0"/>
          <w:color w:val="auto"/>
          <w:sz w:val="24"/>
        </w:rPr>
        <w:t>1、项目考核办法及考核标准执行</w:t>
      </w:r>
    </w:p>
    <w:p>
      <w:pPr>
        <w:pStyle w:val="2"/>
        <w:spacing w:line="360" w:lineRule="auto"/>
        <w:ind w:firstLine="482" w:firstLineChars="200"/>
        <w:rPr>
          <w:rFonts w:ascii="仿宋" w:hAnsi="仿宋" w:eastAsia="仿宋" w:cs="仿宋"/>
          <w:color w:val="auto"/>
          <w:sz w:val="24"/>
        </w:rPr>
      </w:pPr>
      <w:r>
        <w:rPr>
          <w:rFonts w:hint="eastAsia" w:ascii="仿宋" w:hAnsi="仿宋" w:eastAsia="仿宋" w:cs="仿宋"/>
          <w:b/>
          <w:bCs w:val="0"/>
          <w:color w:val="auto"/>
          <w:sz w:val="24"/>
        </w:rPr>
        <w:t>①考核方案由采购人随机抽取本合同维保服务范围内</w:t>
      </w:r>
      <w:r>
        <w:rPr>
          <w:rFonts w:ascii="仿宋" w:hAnsi="仿宋" w:eastAsia="仿宋" w:cs="仿宋"/>
          <w:b/>
          <w:bCs w:val="0"/>
          <w:color w:val="auto"/>
          <w:sz w:val="24"/>
        </w:rPr>
        <w:t>50%及以上的临床科室，对供应商的服务质量进行月考核（空调系统</w:t>
      </w:r>
      <w:r>
        <w:rPr>
          <w:rFonts w:hint="eastAsia" w:ascii="仿宋" w:hAnsi="仿宋" w:eastAsia="仿宋" w:cs="仿宋"/>
          <w:b/>
          <w:bCs w:val="0"/>
          <w:color w:val="auto"/>
          <w:sz w:val="24"/>
          <w:lang w:eastAsia="zh-CN"/>
        </w:rPr>
        <w:t>维保</w:t>
      </w:r>
      <w:r>
        <w:rPr>
          <w:rFonts w:ascii="仿宋" w:hAnsi="仿宋" w:eastAsia="仿宋" w:cs="仿宋"/>
          <w:b/>
          <w:bCs w:val="0"/>
          <w:color w:val="auto"/>
          <w:sz w:val="24"/>
        </w:rPr>
        <w:t>服务质量月考核表附后）</w:t>
      </w:r>
    </w:p>
    <w:p>
      <w:pPr>
        <w:pStyle w:val="2"/>
        <w:spacing w:line="360" w:lineRule="auto"/>
        <w:ind w:firstLine="482" w:firstLineChars="200"/>
        <w:rPr>
          <w:rFonts w:ascii="仿宋" w:hAnsi="仿宋" w:eastAsia="仿宋" w:cs="仿宋"/>
          <w:color w:val="auto"/>
          <w:sz w:val="24"/>
        </w:rPr>
      </w:pPr>
      <w:r>
        <w:rPr>
          <w:rFonts w:hint="eastAsia" w:ascii="仿宋" w:hAnsi="仿宋" w:eastAsia="仿宋" w:cs="仿宋"/>
          <w:b/>
          <w:bCs w:val="0"/>
          <w:color w:val="auto"/>
          <w:sz w:val="24"/>
        </w:rPr>
        <w:t>②综合评定为优秀或良好且无安全事故，按月支付维保费。</w:t>
      </w:r>
    </w:p>
    <w:p>
      <w:pPr>
        <w:pStyle w:val="2"/>
        <w:spacing w:line="360" w:lineRule="auto"/>
        <w:ind w:firstLine="482" w:firstLineChars="200"/>
        <w:rPr>
          <w:rFonts w:ascii="仿宋" w:hAnsi="仿宋" w:eastAsia="仿宋" w:cs="仿宋"/>
          <w:color w:val="auto"/>
          <w:sz w:val="24"/>
        </w:rPr>
      </w:pPr>
      <w:r>
        <w:rPr>
          <w:rFonts w:hint="eastAsia" w:ascii="仿宋" w:hAnsi="仿宋" w:eastAsia="仿宋" w:cs="仿宋"/>
          <w:b/>
          <w:bCs w:val="0"/>
          <w:color w:val="auto"/>
          <w:sz w:val="24"/>
        </w:rPr>
        <w:t>③综合评定为一般且无重大安全事故的，经</w:t>
      </w:r>
      <w:r>
        <w:rPr>
          <w:rFonts w:hint="eastAsia" w:ascii="仿宋" w:hAnsi="仿宋" w:eastAsia="仿宋" w:cs="仿宋"/>
          <w:b/>
          <w:bCs w:val="0"/>
          <w:color w:val="auto"/>
          <w:sz w:val="24"/>
          <w:lang w:eastAsia="zh-CN"/>
        </w:rPr>
        <w:t>采购人</w:t>
      </w:r>
      <w:r>
        <w:rPr>
          <w:rFonts w:hint="eastAsia" w:ascii="仿宋" w:hAnsi="仿宋" w:eastAsia="仿宋" w:cs="仿宋"/>
          <w:b/>
          <w:bCs w:val="0"/>
          <w:color w:val="auto"/>
          <w:sz w:val="24"/>
        </w:rPr>
        <w:t>相关会议决定，并结合谈判文件要求、维保单位改进措施可行，按月支付维保费。</w:t>
      </w:r>
    </w:p>
    <w:p>
      <w:pPr>
        <w:pStyle w:val="2"/>
        <w:spacing w:line="360" w:lineRule="auto"/>
        <w:ind w:firstLine="482" w:firstLineChars="200"/>
        <w:rPr>
          <w:rFonts w:ascii="仿宋" w:hAnsi="仿宋" w:eastAsia="仿宋" w:cs="仿宋"/>
          <w:color w:val="auto"/>
          <w:sz w:val="24"/>
        </w:rPr>
      </w:pPr>
      <w:r>
        <w:rPr>
          <w:rFonts w:hint="eastAsia" w:ascii="仿宋" w:hAnsi="仿宋" w:eastAsia="仿宋" w:cs="仿宋"/>
          <w:b/>
          <w:bCs w:val="0"/>
          <w:color w:val="auto"/>
          <w:sz w:val="24"/>
        </w:rPr>
        <w:t>④综合评定为较差（</w:t>
      </w:r>
      <w:r>
        <w:rPr>
          <w:rFonts w:ascii="仿宋" w:hAnsi="仿宋" w:eastAsia="仿宋" w:cs="仿宋"/>
          <w:b/>
          <w:bCs w:val="0"/>
          <w:color w:val="auto"/>
          <w:sz w:val="24"/>
        </w:rPr>
        <w:t>5次以上）或发生安全事故的，采购人有权解除合同，由供应商承担解除合同的一切责任。</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⑤空调系统维保考核表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661"/>
        <w:gridCol w:w="835"/>
        <w:gridCol w:w="1253"/>
        <w:gridCol w:w="594"/>
        <w:gridCol w:w="1672"/>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359" w:type="dxa"/>
            <w:gridSpan w:val="7"/>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空调系统维保服务质量月考核表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是否按要求维保</w:t>
            </w:r>
          </w:p>
        </w:tc>
        <w:tc>
          <w:tcPr>
            <w:tcW w:w="2088"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w:t>
            </w:r>
          </w:p>
        </w:tc>
        <w:tc>
          <w:tcPr>
            <w:tcW w:w="2266" w:type="dxa"/>
            <w:gridSpan w:val="2"/>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是否及时处理保修事项</w:t>
            </w:r>
          </w:p>
        </w:tc>
        <w:tc>
          <w:tcPr>
            <w:tcW w:w="167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continue"/>
            <w:vAlign w:val="center"/>
          </w:tcPr>
          <w:p>
            <w:pPr>
              <w:pStyle w:val="2"/>
              <w:spacing w:line="360" w:lineRule="auto"/>
              <w:jc w:val="center"/>
              <w:rPr>
                <w:rFonts w:ascii="仿宋" w:hAnsi="仿宋" w:eastAsia="仿宋" w:cs="仿宋"/>
                <w:color w:val="auto"/>
                <w:sz w:val="24"/>
              </w:rPr>
            </w:pPr>
          </w:p>
        </w:tc>
        <w:tc>
          <w:tcPr>
            <w:tcW w:w="2088"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否□</w:t>
            </w:r>
          </w:p>
        </w:tc>
        <w:tc>
          <w:tcPr>
            <w:tcW w:w="2266" w:type="dxa"/>
            <w:gridSpan w:val="2"/>
            <w:vMerge w:val="continue"/>
            <w:vAlign w:val="center"/>
          </w:tcPr>
          <w:p>
            <w:pPr>
              <w:pStyle w:val="2"/>
              <w:spacing w:line="360" w:lineRule="auto"/>
              <w:jc w:val="center"/>
              <w:rPr>
                <w:rFonts w:ascii="仿宋" w:hAnsi="仿宋" w:eastAsia="仿宋" w:cs="仿宋"/>
                <w:color w:val="auto"/>
                <w:sz w:val="24"/>
              </w:rPr>
            </w:pPr>
          </w:p>
        </w:tc>
        <w:tc>
          <w:tcPr>
            <w:tcW w:w="167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332" w:type="dxa"/>
            <w:gridSpan w:val="2"/>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设备运行是否良好</w:t>
            </w:r>
          </w:p>
        </w:tc>
        <w:tc>
          <w:tcPr>
            <w:tcW w:w="2088"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w:t>
            </w:r>
          </w:p>
        </w:tc>
        <w:tc>
          <w:tcPr>
            <w:tcW w:w="2266" w:type="dxa"/>
            <w:gridSpan w:val="2"/>
            <w:vMerge w:val="restart"/>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维保人员服务态度是否满意</w:t>
            </w:r>
          </w:p>
        </w:tc>
        <w:tc>
          <w:tcPr>
            <w:tcW w:w="167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332" w:type="dxa"/>
            <w:gridSpan w:val="2"/>
            <w:vMerge w:val="continue"/>
            <w:vAlign w:val="center"/>
          </w:tcPr>
          <w:p>
            <w:pPr>
              <w:pStyle w:val="2"/>
              <w:spacing w:line="360" w:lineRule="auto"/>
              <w:jc w:val="center"/>
              <w:rPr>
                <w:rFonts w:ascii="仿宋" w:hAnsi="仿宋" w:eastAsia="仿宋" w:cs="仿宋"/>
                <w:color w:val="auto"/>
                <w:sz w:val="24"/>
              </w:rPr>
            </w:pPr>
          </w:p>
        </w:tc>
        <w:tc>
          <w:tcPr>
            <w:tcW w:w="2088"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否□</w:t>
            </w:r>
          </w:p>
        </w:tc>
        <w:tc>
          <w:tcPr>
            <w:tcW w:w="2266" w:type="dxa"/>
            <w:gridSpan w:val="2"/>
            <w:vMerge w:val="continue"/>
            <w:vAlign w:val="center"/>
          </w:tcPr>
          <w:p>
            <w:pPr>
              <w:pStyle w:val="2"/>
              <w:spacing w:line="360" w:lineRule="auto"/>
              <w:jc w:val="center"/>
              <w:rPr>
                <w:rFonts w:ascii="仿宋" w:hAnsi="仿宋" w:eastAsia="仿宋" w:cs="仿宋"/>
                <w:color w:val="auto"/>
                <w:sz w:val="24"/>
              </w:rPr>
            </w:pPr>
          </w:p>
        </w:tc>
        <w:tc>
          <w:tcPr>
            <w:tcW w:w="167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评估时段</w:t>
            </w:r>
          </w:p>
        </w:tc>
        <w:tc>
          <w:tcPr>
            <w:tcW w:w="6027" w:type="dxa"/>
            <w:gridSpan w:val="5"/>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671" w:type="dxa"/>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评定等级</w:t>
            </w:r>
          </w:p>
        </w:tc>
        <w:tc>
          <w:tcPr>
            <w:tcW w:w="1496"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优秀□</w:t>
            </w:r>
          </w:p>
        </w:tc>
        <w:tc>
          <w:tcPr>
            <w:tcW w:w="1847" w:type="dxa"/>
            <w:gridSpan w:val="2"/>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良好□</w:t>
            </w:r>
          </w:p>
        </w:tc>
        <w:tc>
          <w:tcPr>
            <w:tcW w:w="1672"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一般□</w:t>
            </w:r>
          </w:p>
        </w:tc>
        <w:tc>
          <w:tcPr>
            <w:tcW w:w="1673" w:type="dxa"/>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71" w:type="dxa"/>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综合评估结果及意见</w:t>
            </w:r>
          </w:p>
        </w:tc>
        <w:tc>
          <w:tcPr>
            <w:tcW w:w="6688" w:type="dxa"/>
            <w:gridSpan w:val="6"/>
            <w:vAlign w:val="bottom"/>
          </w:tcPr>
          <w:p>
            <w:pPr>
              <w:pStyle w:val="2"/>
              <w:spacing w:line="360" w:lineRule="auto"/>
              <w:rPr>
                <w:rFonts w:ascii="仿宋" w:hAnsi="仿宋" w:eastAsia="仿宋" w:cs="仿宋"/>
                <w:color w:val="auto"/>
                <w:sz w:val="24"/>
              </w:rPr>
            </w:pPr>
            <w:r>
              <w:rPr>
                <w:rFonts w:hint="eastAsia" w:ascii="仿宋" w:hAnsi="仿宋" w:eastAsia="仿宋" w:cs="仿宋"/>
                <w:color w:val="auto"/>
                <w:sz w:val="24"/>
              </w:rPr>
              <w:t>考评部门签名：</w:t>
            </w:r>
          </w:p>
          <w:p>
            <w:pPr>
              <w:pStyle w:val="2"/>
              <w:spacing w:line="360" w:lineRule="auto"/>
              <w:jc w:val="right"/>
              <w:rPr>
                <w:rFonts w:ascii="仿宋" w:hAnsi="仿宋" w:eastAsia="仿宋" w:cs="仿宋"/>
                <w:color w:val="auto"/>
                <w:sz w:val="24"/>
              </w:rPr>
            </w:pPr>
            <w:r>
              <w:rPr>
                <w:rFonts w:hint="eastAsia" w:ascii="仿宋" w:hAnsi="仿宋" w:eastAsia="仿宋" w:cs="仿宋"/>
                <w:color w:val="auto"/>
                <w:sz w:val="24"/>
              </w:rPr>
              <w:t>年</w:t>
            </w:r>
            <w:r>
              <w:rPr>
                <w:rFonts w:ascii="仿宋" w:hAnsi="仿宋" w:eastAsia="仿宋" w:cs="仿宋"/>
                <w:color w:val="auto"/>
                <w:sz w:val="24"/>
              </w:rPr>
              <w:t xml:space="preserve">   </w:t>
            </w:r>
            <w:r>
              <w:rPr>
                <w:rFonts w:hint="eastAsia" w:ascii="仿宋" w:hAnsi="仿宋" w:eastAsia="仿宋" w:cs="仿宋"/>
                <w:color w:val="auto"/>
                <w:sz w:val="24"/>
              </w:rPr>
              <w:t>月</w:t>
            </w:r>
            <w:r>
              <w:rPr>
                <w:rFonts w:ascii="仿宋" w:hAnsi="仿宋" w:eastAsia="仿宋" w:cs="仿宋"/>
                <w:color w:val="auto"/>
                <w:sz w:val="24"/>
              </w:rPr>
              <w:t xml:space="preserve">  </w:t>
            </w:r>
            <w:r>
              <w:rPr>
                <w:rFonts w:hint="eastAsia" w:ascii="仿宋" w:hAnsi="仿宋" w:eastAsia="仿宋" w:cs="仿宋"/>
                <w:color w:val="auto"/>
                <w:sz w:val="24"/>
              </w:rPr>
              <w:t>日</w:t>
            </w:r>
          </w:p>
        </w:tc>
      </w:tr>
    </w:tbl>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2、维保单项考核办法：（在维保服务费中扣除）</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1）严格按照维护保养工作内容进行设备各系统维保，未及时做检查和维保工作的，扣减维保费1000元/次，成交单价超过1000元的项目未按规定维保，按该项目成交单价进行扣减维保费，并在一周内按标准进行补充维保，检查和维保工作未达到标准的，扣减维保费500元/次（标准以采购人签字认可为准）。 </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在采购人的系统运行出现故障时，供应商接到报修通知后，必须在0.5小时内赶到现场进行检查维修（重大事项0.15小时内赶到现场进行检查维修），若未按上述约定时间修复引起科室及患者投诉的，扣减维保费500元/次。累计5次未按时到现场，采购人有权解除合同。</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3）每次保养或故障维修工作结束，都要做好记录，双方签字确认，存档备查。未做到的每缺少一项扣减维保费500元（以此类推）。 </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4）供应商在保养和维修的过程中，必须确保安全，负责搞好安全防范和防护，设置安全围栏和警示标志（发现未做到者扣减维保费500元/次），因供应商过错造成净化设备本身及</w:t>
      </w:r>
      <w:r>
        <w:rPr>
          <w:rFonts w:hint="eastAsia" w:ascii="仿宋" w:hAnsi="仿宋" w:eastAsia="仿宋" w:cs="仿宋"/>
          <w:color w:val="auto"/>
          <w:sz w:val="24"/>
          <w:lang w:eastAsia="zh-CN"/>
        </w:rPr>
        <w:t>采购人</w:t>
      </w:r>
      <w:r>
        <w:rPr>
          <w:rFonts w:hint="eastAsia" w:ascii="仿宋" w:hAnsi="仿宋" w:eastAsia="仿宋" w:cs="仿宋"/>
          <w:color w:val="auto"/>
          <w:sz w:val="24"/>
        </w:rPr>
        <w:t>其它设施设备、房屋等损坏和一切人员伤害的，由供应商负责。</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5）在服务期间供应商未完成保养和维修内容，采购人根据供应商的报价清单中对应的细项报价金额在维保服务费中扣除。</w:t>
      </w:r>
    </w:p>
    <w:p>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3、供应商按规范要求对手术室的净化指标进行检测，并向采购人报告检测结果，检测标准依据为：《医院洁净手术部建设技术规范GB 50333－2013》。采购人若对供应商的检测有疑问，可请有资质的检测部门进行复测，并事先通知供应商参加，若复测合格由采购人承担费用，若复测不合格，则由供应商支付复测费用，并承担因此造成的相应损失。供应商每季度对手术室的风速风压等净化指标进行检测。并把以上项目的检测报告交由采购人管理部门保存。</w:t>
      </w:r>
    </w:p>
    <w:p>
      <w:pPr>
        <w:spacing w:line="360" w:lineRule="auto"/>
        <w:ind w:firstLine="482" w:firstLineChars="200"/>
        <w:outlineLvl w:val="1"/>
        <w:rPr>
          <w:rFonts w:ascii="仿宋" w:hAnsi="仿宋" w:eastAsia="仿宋" w:cs="仿宋"/>
          <w:b/>
          <w:bCs/>
          <w:color w:val="auto"/>
          <w:sz w:val="24"/>
        </w:rPr>
      </w:pPr>
    </w:p>
    <w:p>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★八、</w:t>
      </w:r>
      <w:bookmarkEnd w:id="37"/>
      <w:bookmarkStart w:id="38" w:name="_Toc11404"/>
      <w:bookmarkStart w:id="39" w:name="_Toc16029"/>
      <w:bookmarkStart w:id="40" w:name="_Toc16534"/>
      <w:r>
        <w:rPr>
          <w:rFonts w:hint="eastAsia" w:ascii="仿宋" w:hAnsi="仿宋" w:eastAsia="仿宋" w:cs="仿宋"/>
          <w:b/>
          <w:bCs/>
          <w:color w:val="auto"/>
          <w:sz w:val="24"/>
        </w:rPr>
        <w:t>商务要求</w:t>
      </w:r>
    </w:p>
    <w:p>
      <w:pPr>
        <w:autoSpaceDE w:val="0"/>
        <w:autoSpaceDN w:val="0"/>
        <w:adjustRightInd w:val="0"/>
        <w:snapToGrid w:val="0"/>
        <w:spacing w:line="360" w:lineRule="auto"/>
        <w:ind w:firstLine="504" w:firstLineChars="200"/>
        <w:jc w:val="left"/>
        <w:rPr>
          <w:rFonts w:ascii="仿宋" w:hAnsi="仿宋" w:eastAsia="仿宋" w:cs="仿宋"/>
          <w:color w:val="auto"/>
          <w:spacing w:val="6"/>
          <w:kern w:val="0"/>
          <w:sz w:val="24"/>
          <w:szCs w:val="22"/>
          <w:lang w:val="zh-CN"/>
        </w:rPr>
      </w:pPr>
      <w:bookmarkStart w:id="41" w:name="_Toc7836"/>
      <w:r>
        <w:rPr>
          <w:rFonts w:hint="eastAsia" w:ascii="仿宋" w:hAnsi="仿宋" w:eastAsia="仿宋" w:cs="仿宋"/>
          <w:color w:val="auto"/>
          <w:spacing w:val="6"/>
          <w:kern w:val="0"/>
          <w:sz w:val="24"/>
          <w:szCs w:val="22"/>
          <w:lang w:val="zh-CN"/>
        </w:rPr>
        <w:t>1、签订合同：自成交通知书发出之日起</w:t>
      </w:r>
      <w:r>
        <w:rPr>
          <w:rFonts w:hint="eastAsia" w:ascii="仿宋" w:hAnsi="仿宋" w:eastAsia="仿宋" w:cs="仿宋"/>
          <w:color w:val="auto"/>
          <w:spacing w:val="6"/>
          <w:kern w:val="0"/>
          <w:sz w:val="24"/>
          <w:szCs w:val="22"/>
        </w:rPr>
        <w:t>30</w:t>
      </w:r>
      <w:r>
        <w:rPr>
          <w:rFonts w:hint="eastAsia" w:ascii="仿宋" w:hAnsi="仿宋" w:eastAsia="仿宋" w:cs="仿宋"/>
          <w:color w:val="auto"/>
          <w:spacing w:val="6"/>
          <w:kern w:val="0"/>
          <w:sz w:val="24"/>
          <w:szCs w:val="22"/>
          <w:lang w:val="zh-CN"/>
        </w:rPr>
        <w:t>日内。</w:t>
      </w:r>
    </w:p>
    <w:p>
      <w:pPr>
        <w:autoSpaceDE w:val="0"/>
        <w:autoSpaceDN w:val="0"/>
        <w:adjustRightInd w:val="0"/>
        <w:snapToGrid w:val="0"/>
        <w:spacing w:line="360" w:lineRule="auto"/>
        <w:ind w:firstLine="504" w:firstLineChars="200"/>
        <w:jc w:val="left"/>
        <w:rPr>
          <w:rFonts w:ascii="仿宋" w:hAnsi="仿宋" w:eastAsia="仿宋" w:cs="仿宋"/>
          <w:color w:val="auto"/>
          <w:sz w:val="24"/>
        </w:rPr>
      </w:pPr>
      <w:r>
        <w:rPr>
          <w:rFonts w:hint="eastAsia" w:ascii="仿宋" w:hAnsi="仿宋" w:eastAsia="仿宋" w:cs="仿宋"/>
          <w:color w:val="auto"/>
          <w:spacing w:val="6"/>
          <w:kern w:val="0"/>
          <w:sz w:val="24"/>
          <w:szCs w:val="22"/>
          <w:lang w:val="zh-CN"/>
        </w:rPr>
        <w:t>2、服务期限：</w:t>
      </w:r>
      <w:r>
        <w:rPr>
          <w:rFonts w:hint="eastAsia" w:ascii="仿宋" w:hAnsi="仿宋" w:eastAsia="仿宋" w:cs="仿宋"/>
          <w:color w:val="auto"/>
          <w:sz w:val="24"/>
        </w:rPr>
        <w:t>自合同签订之日起1年。</w:t>
      </w:r>
    </w:p>
    <w:p>
      <w:pPr>
        <w:autoSpaceDE w:val="0"/>
        <w:autoSpaceDN w:val="0"/>
        <w:adjustRightInd w:val="0"/>
        <w:snapToGrid w:val="0"/>
        <w:spacing w:line="360" w:lineRule="auto"/>
        <w:ind w:firstLine="504" w:firstLineChars="200"/>
        <w:jc w:val="left"/>
        <w:rPr>
          <w:rFonts w:ascii="仿宋" w:hAnsi="仿宋" w:eastAsia="仿宋" w:cs="仿宋"/>
          <w:color w:val="auto"/>
          <w:spacing w:val="6"/>
          <w:kern w:val="0"/>
          <w:sz w:val="24"/>
          <w:szCs w:val="22"/>
          <w:lang w:val="zh-CN"/>
        </w:rPr>
      </w:pPr>
      <w:r>
        <w:rPr>
          <w:rFonts w:hint="eastAsia" w:ascii="仿宋" w:hAnsi="仿宋" w:eastAsia="仿宋" w:cs="仿宋"/>
          <w:color w:val="auto"/>
          <w:spacing w:val="6"/>
          <w:kern w:val="0"/>
          <w:sz w:val="24"/>
          <w:szCs w:val="22"/>
          <w:lang w:val="zh-CN"/>
        </w:rPr>
        <w:t>3、服务地点：采购人指定地点。</w:t>
      </w:r>
    </w:p>
    <w:p>
      <w:pPr>
        <w:autoSpaceDE w:val="0"/>
        <w:autoSpaceDN w:val="0"/>
        <w:adjustRightInd w:val="0"/>
        <w:snapToGrid w:val="0"/>
        <w:spacing w:line="360" w:lineRule="auto"/>
        <w:ind w:firstLine="504" w:firstLineChars="200"/>
        <w:jc w:val="left"/>
        <w:rPr>
          <w:rFonts w:ascii="仿宋" w:hAnsi="仿宋" w:eastAsia="仿宋" w:cs="仿宋"/>
          <w:color w:val="auto"/>
          <w:spacing w:val="6"/>
          <w:kern w:val="0"/>
          <w:sz w:val="24"/>
          <w:szCs w:val="22"/>
          <w:lang w:val="zh-CN"/>
        </w:rPr>
      </w:pPr>
      <w:r>
        <w:rPr>
          <w:rFonts w:hint="eastAsia" w:ascii="仿宋" w:hAnsi="仿宋" w:eastAsia="仿宋" w:cs="仿宋"/>
          <w:color w:val="auto"/>
          <w:spacing w:val="6"/>
          <w:kern w:val="0"/>
          <w:sz w:val="24"/>
          <w:szCs w:val="22"/>
        </w:rPr>
        <w:t>4、</w:t>
      </w:r>
      <w:r>
        <w:rPr>
          <w:rFonts w:hint="eastAsia" w:ascii="仿宋" w:hAnsi="仿宋" w:eastAsia="仿宋" w:cs="仿宋"/>
          <w:color w:val="auto"/>
          <w:spacing w:val="6"/>
          <w:kern w:val="0"/>
          <w:sz w:val="24"/>
          <w:szCs w:val="22"/>
          <w:lang w:val="zh-CN"/>
        </w:rPr>
        <w:t>付款方式：根据考核结果，按月支付服务费。每月付款金额=（年合同总金额/12个月）-（考核扣减违约金额</w:t>
      </w:r>
      <w:r>
        <w:rPr>
          <w:rFonts w:hint="eastAsia" w:ascii="仿宋" w:hAnsi="仿宋" w:eastAsia="仿宋" w:cs="仿宋"/>
          <w:color w:val="auto"/>
          <w:spacing w:val="6"/>
          <w:kern w:val="0"/>
          <w:sz w:val="24"/>
          <w:szCs w:val="22"/>
        </w:rPr>
        <w:t>+扣减维保费</w:t>
      </w:r>
      <w:r>
        <w:rPr>
          <w:rFonts w:hint="eastAsia" w:ascii="仿宋" w:hAnsi="仿宋" w:eastAsia="仿宋" w:cs="仿宋"/>
          <w:color w:val="auto"/>
          <w:spacing w:val="6"/>
          <w:kern w:val="0"/>
          <w:sz w:val="24"/>
          <w:szCs w:val="22"/>
          <w:lang w:val="zh-CN"/>
        </w:rPr>
        <w:t>）。付款前，供应商须向采购人出具合法有效完整的发票及凭证资料后进行支付结算，付款方式均采用公对公的银行转账，</w:t>
      </w:r>
      <w:r>
        <w:rPr>
          <w:rFonts w:hint="eastAsia" w:ascii="仿宋" w:hAnsi="仿宋" w:eastAsia="仿宋" w:cs="仿宋"/>
          <w:color w:val="auto"/>
          <w:spacing w:val="6"/>
          <w:kern w:val="0"/>
          <w:sz w:val="24"/>
          <w:szCs w:val="22"/>
          <w:lang w:val="en-US" w:eastAsia="zh-CN"/>
        </w:rPr>
        <w:t>采购人</w:t>
      </w:r>
      <w:r>
        <w:rPr>
          <w:rFonts w:hint="eastAsia" w:ascii="仿宋" w:hAnsi="仿宋" w:eastAsia="仿宋" w:cs="仿宋"/>
          <w:color w:val="auto"/>
          <w:spacing w:val="6"/>
          <w:kern w:val="0"/>
          <w:sz w:val="24"/>
          <w:szCs w:val="22"/>
          <w:lang w:val="zh-CN"/>
        </w:rPr>
        <w:t>接受转账的开户信息以合同载明的为准。如因供应商未及时按照要求提供合法有效的发票导致逾期付款的，不视为采购人违约，采购人不承担任何责任。</w:t>
      </w:r>
    </w:p>
    <w:p>
      <w:pPr>
        <w:autoSpaceDE w:val="0"/>
        <w:autoSpaceDN w:val="0"/>
        <w:adjustRightInd w:val="0"/>
        <w:snapToGrid w:val="0"/>
        <w:spacing w:line="360" w:lineRule="auto"/>
        <w:ind w:firstLine="504" w:firstLineChars="200"/>
        <w:jc w:val="left"/>
        <w:rPr>
          <w:rFonts w:ascii="仿宋" w:hAnsi="仿宋" w:eastAsia="仿宋" w:cs="仿宋"/>
          <w:color w:val="auto"/>
          <w:spacing w:val="6"/>
          <w:kern w:val="0"/>
          <w:sz w:val="24"/>
          <w:szCs w:val="22"/>
          <w:lang w:val="zh-CN"/>
        </w:rPr>
      </w:pPr>
      <w:r>
        <w:rPr>
          <w:rFonts w:hint="eastAsia" w:ascii="仿宋" w:hAnsi="仿宋" w:eastAsia="仿宋" w:cs="仿宋"/>
          <w:color w:val="auto"/>
          <w:spacing w:val="6"/>
          <w:kern w:val="0"/>
          <w:sz w:val="24"/>
          <w:szCs w:val="22"/>
        </w:rPr>
        <w:t>5</w:t>
      </w:r>
      <w:r>
        <w:rPr>
          <w:rFonts w:hint="eastAsia" w:ascii="仿宋" w:hAnsi="仿宋" w:eastAsia="仿宋" w:cs="仿宋"/>
          <w:color w:val="auto"/>
          <w:spacing w:val="6"/>
          <w:kern w:val="0"/>
          <w:sz w:val="24"/>
          <w:szCs w:val="22"/>
          <w:lang w:val="zh-CN"/>
        </w:rPr>
        <w:t>、报价要求：本次报价应包括人工、设备、管理费、税费、安装、调试等完成本项目所需一切费用。分项报价和总价报价按照同比例下浮报价，保留小数点后两位。</w:t>
      </w:r>
    </w:p>
    <w:p>
      <w:pPr>
        <w:autoSpaceDE w:val="0"/>
        <w:autoSpaceDN w:val="0"/>
        <w:adjustRightInd w:val="0"/>
        <w:snapToGrid w:val="0"/>
        <w:spacing w:line="360" w:lineRule="auto"/>
        <w:ind w:firstLine="504" w:firstLineChars="200"/>
        <w:jc w:val="left"/>
        <w:rPr>
          <w:rFonts w:ascii="仿宋" w:hAnsi="仿宋" w:eastAsia="仿宋" w:cs="仿宋"/>
          <w:color w:val="auto"/>
          <w:spacing w:val="6"/>
          <w:kern w:val="0"/>
          <w:sz w:val="24"/>
          <w:szCs w:val="22"/>
          <w:lang w:val="zh-CN"/>
        </w:rPr>
      </w:pPr>
      <w:r>
        <w:rPr>
          <w:rFonts w:hint="eastAsia" w:ascii="仿宋" w:hAnsi="仿宋" w:eastAsia="仿宋" w:cs="仿宋"/>
          <w:color w:val="auto"/>
          <w:spacing w:val="6"/>
          <w:kern w:val="0"/>
          <w:sz w:val="24"/>
          <w:szCs w:val="22"/>
        </w:rPr>
        <w:t>6、</w:t>
      </w:r>
      <w:r>
        <w:rPr>
          <w:rFonts w:hint="eastAsia" w:ascii="仿宋" w:hAnsi="仿宋" w:eastAsia="仿宋" w:cs="仿宋"/>
          <w:color w:val="auto"/>
          <w:spacing w:val="6"/>
          <w:kern w:val="0"/>
          <w:sz w:val="24"/>
          <w:szCs w:val="22"/>
          <w:lang w:val="zh-CN"/>
        </w:rPr>
        <w:t>验收办法：采购人参照《财政部关于进一步加强政府采购需求和履约验收管理的指导意见》（财库〔2016〕205号）的规定进行验收。</w:t>
      </w:r>
    </w:p>
    <w:p>
      <w:pPr>
        <w:autoSpaceDE w:val="0"/>
        <w:autoSpaceDN w:val="0"/>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7、其他事宜：其他未尽事宜由采购人与成交供应商在采购合同中详细约定。</w:t>
      </w:r>
    </w:p>
    <w:p>
      <w:pPr>
        <w:widowControl/>
        <w:tabs>
          <w:tab w:val="left" w:pos="426"/>
          <w:tab w:val="left" w:pos="851"/>
        </w:tabs>
        <w:spacing w:line="400" w:lineRule="exact"/>
        <w:ind w:firstLine="482" w:firstLineChars="200"/>
        <w:jc w:val="left"/>
        <w:rPr>
          <w:rFonts w:ascii="仿宋" w:hAnsi="仿宋" w:eastAsia="仿宋" w:cs="仿宋"/>
          <w:b/>
          <w:bCs/>
          <w:color w:val="auto"/>
          <w:sz w:val="24"/>
        </w:rPr>
      </w:pPr>
    </w:p>
    <w:bookmarkEnd w:id="38"/>
    <w:bookmarkEnd w:id="39"/>
    <w:bookmarkEnd w:id="40"/>
    <w:bookmarkEnd w:id="41"/>
    <w:p>
      <w:pPr>
        <w:spacing w:line="360" w:lineRule="auto"/>
        <w:ind w:firstLine="474" w:firstLineChars="200"/>
        <w:jc w:val="left"/>
        <w:rPr>
          <w:rFonts w:ascii="仿宋" w:hAnsi="仿宋" w:eastAsia="仿宋" w:cs="仿宋"/>
          <w:b/>
          <w:bCs/>
          <w:color w:val="auto"/>
          <w:spacing w:val="-2"/>
          <w:sz w:val="24"/>
        </w:rPr>
        <w:sectPr>
          <w:pgSz w:w="11850" w:h="16783"/>
          <w:pgMar w:top="1440" w:right="1531" w:bottom="1440" w:left="1644" w:header="851" w:footer="992" w:gutter="0"/>
          <w:cols w:space="720" w:num="1"/>
          <w:docGrid w:linePitch="312" w:charSpace="0"/>
        </w:sectPr>
      </w:pPr>
      <w:bookmarkStart w:id="42" w:name="_Toc4978"/>
      <w:bookmarkStart w:id="43" w:name="_Toc25073"/>
      <w:bookmarkStart w:id="44" w:name="_Toc6413"/>
      <w:bookmarkStart w:id="45" w:name="_Toc21698"/>
      <w:r>
        <w:rPr>
          <w:rFonts w:hint="eastAsia" w:ascii="仿宋" w:hAnsi="仿宋" w:eastAsia="仿宋" w:cs="仿宋"/>
          <w:b/>
          <w:bCs/>
          <w:color w:val="auto"/>
          <w:spacing w:val="-2"/>
          <w:sz w:val="24"/>
        </w:rPr>
        <w:t>说明：</w:t>
      </w:r>
      <w:r>
        <w:rPr>
          <w:rFonts w:hint="eastAsia" w:ascii="仿宋" w:hAnsi="仿宋" w:eastAsia="仿宋" w:cs="仿宋"/>
          <w:b/>
          <w:color w:val="auto"/>
          <w:spacing w:val="-2"/>
          <w:sz w:val="24"/>
        </w:rPr>
        <w:t>本章中以“★”标示的内容为本次采购项目的实质性要求，</w:t>
      </w:r>
      <w:r>
        <w:rPr>
          <w:rFonts w:hint="eastAsia" w:ascii="仿宋" w:hAnsi="仿宋" w:eastAsia="仿宋" w:cs="仿宋"/>
          <w:b/>
          <w:bCs/>
          <w:color w:val="auto"/>
          <w:spacing w:val="-2"/>
          <w:sz w:val="24"/>
        </w:rPr>
        <w:t>供应商如不满足将作无效响应处理。</w:t>
      </w:r>
    </w:p>
    <w:p>
      <w:pPr>
        <w:pStyle w:val="5"/>
        <w:spacing w:beforeLines="50" w:afterLines="100" w:line="360" w:lineRule="auto"/>
        <w:jc w:val="left"/>
        <w:rPr>
          <w:rFonts w:ascii="仿宋" w:hAnsi="仿宋" w:eastAsia="仿宋" w:cs="仿宋"/>
          <w:bCs/>
          <w:color w:val="auto"/>
          <w:sz w:val="36"/>
          <w:szCs w:val="36"/>
        </w:rPr>
      </w:pPr>
      <w:bookmarkStart w:id="46" w:name="_Toc24419"/>
      <w:bookmarkStart w:id="47" w:name="_Toc3903"/>
      <w:r>
        <w:rPr>
          <w:rFonts w:hint="eastAsia" w:ascii="仿宋" w:hAnsi="仿宋" w:eastAsia="仿宋" w:cs="仿宋"/>
          <w:bCs/>
          <w:color w:val="auto"/>
          <w:sz w:val="36"/>
          <w:szCs w:val="36"/>
        </w:rPr>
        <w:t>第六章 谈判内容、谈判过程中可能实质性变动的内容</w:t>
      </w:r>
      <w:bookmarkEnd w:id="42"/>
      <w:bookmarkEnd w:id="43"/>
      <w:bookmarkEnd w:id="44"/>
      <w:bookmarkEnd w:id="45"/>
      <w:bookmarkEnd w:id="46"/>
      <w:bookmarkEnd w:id="47"/>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针对第五章、第九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pPr>
        <w:widowControl/>
        <w:spacing w:line="360" w:lineRule="auto"/>
        <w:jc w:val="left"/>
        <w:rPr>
          <w:rFonts w:ascii="仿宋" w:hAnsi="仿宋" w:eastAsia="仿宋" w:cs="仿宋"/>
          <w:color w:val="auto"/>
          <w:sz w:val="24"/>
        </w:rPr>
      </w:pPr>
    </w:p>
    <w:p>
      <w:pPr>
        <w:pStyle w:val="25"/>
        <w:spacing w:before="100" w:beforeAutospacing="1" w:after="50" w:line="360" w:lineRule="auto"/>
        <w:jc w:val="center"/>
        <w:rPr>
          <w:rFonts w:ascii="仿宋" w:hAnsi="仿宋" w:eastAsia="仿宋" w:cs="仿宋"/>
          <w:b/>
          <w:bCs/>
          <w:color w:val="auto"/>
          <w:kern w:val="2"/>
          <w:sz w:val="32"/>
          <w:szCs w:val="32"/>
        </w:rPr>
        <w:sectPr>
          <w:pgSz w:w="11850" w:h="16783"/>
          <w:pgMar w:top="1440" w:right="1531" w:bottom="1440" w:left="1644" w:header="851" w:footer="992" w:gutter="0"/>
          <w:cols w:space="720" w:num="1"/>
          <w:docGrid w:linePitch="312" w:charSpace="0"/>
        </w:sectPr>
      </w:pPr>
    </w:p>
    <w:p>
      <w:pPr>
        <w:pStyle w:val="25"/>
        <w:spacing w:beforeLines="50" w:after="20" w:line="360" w:lineRule="auto"/>
        <w:jc w:val="center"/>
        <w:outlineLvl w:val="0"/>
        <w:rPr>
          <w:rFonts w:ascii="仿宋" w:hAnsi="仿宋" w:eastAsia="仿宋" w:cs="仿宋"/>
          <w:b/>
          <w:bCs/>
          <w:color w:val="auto"/>
          <w:kern w:val="2"/>
          <w:sz w:val="36"/>
          <w:szCs w:val="36"/>
        </w:rPr>
      </w:pPr>
      <w:bookmarkStart w:id="48" w:name="_Toc20997"/>
      <w:bookmarkStart w:id="49" w:name="_Toc27659"/>
      <w:bookmarkStart w:id="50" w:name="_Toc7612"/>
      <w:bookmarkStart w:id="51" w:name="_Toc4706"/>
      <w:bookmarkStart w:id="52" w:name="_Toc24582"/>
      <w:bookmarkStart w:id="53" w:name="_Toc2502"/>
      <w:r>
        <w:rPr>
          <w:rFonts w:hint="eastAsia" w:ascii="仿宋" w:hAnsi="仿宋" w:eastAsia="仿宋" w:cs="仿宋"/>
          <w:b/>
          <w:bCs/>
          <w:color w:val="auto"/>
          <w:kern w:val="2"/>
          <w:sz w:val="36"/>
          <w:szCs w:val="36"/>
        </w:rPr>
        <w:t>第七章响应文件主要格式要求</w:t>
      </w:r>
      <w:bookmarkEnd w:id="48"/>
      <w:bookmarkEnd w:id="49"/>
      <w:bookmarkEnd w:id="50"/>
      <w:bookmarkEnd w:id="51"/>
      <w:bookmarkEnd w:id="52"/>
      <w:bookmarkEnd w:id="53"/>
    </w:p>
    <w:p>
      <w:pPr>
        <w:tabs>
          <w:tab w:val="left" w:pos="426"/>
          <w:tab w:val="left" w:pos="851"/>
        </w:tabs>
        <w:adjustRightInd w:val="0"/>
        <w:spacing w:line="360" w:lineRule="auto"/>
        <w:ind w:firstLine="504" w:firstLineChars="200"/>
        <w:rPr>
          <w:rFonts w:ascii="仿宋" w:hAnsi="仿宋" w:eastAsia="仿宋" w:cs="仿宋"/>
          <w:color w:val="auto"/>
          <w:spacing w:val="6"/>
          <w:sz w:val="24"/>
        </w:rPr>
      </w:pPr>
      <w:bookmarkStart w:id="54" w:name="_Toc22320"/>
      <w:bookmarkStart w:id="55" w:name="_Toc26560"/>
      <w:bookmarkStart w:id="56" w:name="_Toc17149"/>
      <w:bookmarkStart w:id="57" w:name="_Toc26124"/>
      <w:bookmarkStart w:id="58" w:name="_Toc16494"/>
      <w:bookmarkStart w:id="59" w:name="_Toc13336"/>
      <w:bookmarkStart w:id="60" w:name="_Toc21231"/>
    </w:p>
    <w:p>
      <w:pPr>
        <w:tabs>
          <w:tab w:val="left" w:pos="426"/>
          <w:tab w:val="left" w:pos="851"/>
        </w:tabs>
        <w:adjustRightInd w:val="0"/>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一、本章所列示的响应文件格式由采购代理机构依规制订，并具有解释权。</w:t>
      </w:r>
    </w:p>
    <w:p>
      <w:pPr>
        <w:pStyle w:val="2"/>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1、响应文件格式中以“括号”方式标注“实质性要求”的，是指供应商不能擅自对此项格式文件内容作实质性更改，否则将会导致其响应无效。</w:t>
      </w:r>
    </w:p>
    <w:p>
      <w:pPr>
        <w:tabs>
          <w:tab w:val="left" w:pos="426"/>
          <w:tab w:val="left" w:pos="851"/>
        </w:tabs>
        <w:adjustRightInd w:val="0"/>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2、供应商响应文件相关资料和本章所制格式不一致的，需涵盖所有要求内容，未按要求正确填写、提供导致响应文件被认定为无效响应文件的，后果由供应商自行承担。</w:t>
      </w:r>
    </w:p>
    <w:p>
      <w:pPr>
        <w:tabs>
          <w:tab w:val="left" w:pos="426"/>
          <w:tab w:val="left" w:pos="851"/>
        </w:tabs>
        <w:adjustRightInd w:val="0"/>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二、本章所制响应文件格式有关表格中的备注栏，由供应商根据自身响应情况作解释性说明，不作为必填项。</w:t>
      </w:r>
    </w:p>
    <w:p>
      <w:pPr>
        <w:adjustRightInd w:val="0"/>
        <w:spacing w:line="360" w:lineRule="auto"/>
        <w:ind w:firstLine="504" w:firstLineChars="200"/>
        <w:rPr>
          <w:rFonts w:ascii="仿宋" w:hAnsi="仿宋" w:eastAsia="仿宋" w:cs="仿宋"/>
          <w:color w:val="auto"/>
          <w:sz w:val="24"/>
        </w:rPr>
      </w:pPr>
      <w:r>
        <w:rPr>
          <w:rFonts w:hint="eastAsia" w:ascii="仿宋" w:hAnsi="仿宋" w:eastAsia="仿宋" w:cs="仿宋"/>
          <w:color w:val="auto"/>
          <w:spacing w:val="6"/>
          <w:sz w:val="24"/>
        </w:rPr>
        <w:t>三、未提供格式的由供应商自拟。</w:t>
      </w:r>
    </w:p>
    <w:p>
      <w:pPr>
        <w:spacing w:line="360" w:lineRule="auto"/>
        <w:jc w:val="left"/>
        <w:rPr>
          <w:rFonts w:ascii="仿宋" w:hAnsi="仿宋" w:eastAsia="仿宋" w:cs="仿宋"/>
          <w:b/>
          <w:bCs/>
          <w:color w:val="auto"/>
          <w:sz w:val="30"/>
          <w:szCs w:val="30"/>
        </w:rPr>
      </w:pPr>
      <w:r>
        <w:rPr>
          <w:rFonts w:hint="eastAsia" w:ascii="仿宋" w:hAnsi="仿宋" w:eastAsia="仿宋" w:cs="仿宋"/>
          <w:b/>
          <w:bCs/>
          <w:color w:val="auto"/>
          <w:sz w:val="30"/>
          <w:szCs w:val="30"/>
        </w:rPr>
        <w:br w:type="page"/>
      </w:r>
    </w:p>
    <w:p>
      <w:p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pPr>
        <w:pStyle w:val="2"/>
        <w:outlineLvl w:val="2"/>
        <w:rPr>
          <w:rFonts w:ascii="仿宋" w:hAnsi="仿宋" w:eastAsia="仿宋" w:cs="仿宋"/>
          <w:b/>
          <w:color w:val="auto"/>
          <w:sz w:val="24"/>
        </w:rPr>
      </w:pPr>
      <w:r>
        <w:rPr>
          <w:rFonts w:hint="eastAsia" w:ascii="仿宋" w:hAnsi="仿宋" w:eastAsia="仿宋" w:cs="仿宋"/>
          <w:b/>
          <w:color w:val="auto"/>
          <w:sz w:val="24"/>
        </w:rPr>
        <w:t>格式1-1</w:t>
      </w:r>
      <w:r>
        <w:rPr>
          <w:rFonts w:hint="eastAsia" w:ascii="仿宋" w:hAnsi="仿宋" w:cs="仿宋"/>
          <w:b/>
          <w:color w:val="auto"/>
          <w:sz w:val="24"/>
        </w:rPr>
        <w:t>:</w:t>
      </w:r>
      <w:r>
        <w:rPr>
          <w:rFonts w:hint="eastAsia" w:ascii="仿宋" w:hAnsi="仿宋" w:eastAsia="仿宋" w:cs="仿宋"/>
          <w:b/>
          <w:color w:val="auto"/>
          <w:sz w:val="24"/>
        </w:rPr>
        <w:t>资格性响应文件封面</w:t>
      </w:r>
    </w:p>
    <w:p>
      <w:pPr>
        <w:rPr>
          <w:rFonts w:ascii="仿宋" w:hAnsi="仿宋" w:eastAsia="仿宋" w:cs="仿宋"/>
          <w:color w:val="auto"/>
        </w:rPr>
      </w:pPr>
    </w:p>
    <w:p>
      <w:pPr>
        <w:tabs>
          <w:tab w:val="left" w:leader="dot" w:pos="7380"/>
        </w:tabs>
        <w:snapToGrid w:val="0"/>
        <w:spacing w:line="324" w:lineRule="auto"/>
        <w:jc w:val="left"/>
        <w:rPr>
          <w:rFonts w:ascii="仿宋" w:hAnsi="仿宋" w:eastAsia="仿宋" w:cs="仿宋"/>
          <w:b/>
          <w:bCs/>
          <w:color w:val="auto"/>
          <w:sz w:val="32"/>
          <w:szCs w:val="32"/>
        </w:rPr>
      </w:pPr>
      <w:r>
        <w:rPr>
          <w:rFonts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pPr>
                        <w:jc w:val="center"/>
                        <w:rPr>
                          <w:b/>
                          <w:sz w:val="36"/>
                          <w:szCs w:val="36"/>
                        </w:rPr>
                      </w:pPr>
                      <w:r>
                        <w:rPr>
                          <w:rFonts w:hint="eastAsia"/>
                          <w:b/>
                          <w:sz w:val="36"/>
                          <w:szCs w:val="36"/>
                        </w:rPr>
                        <w:t>正本或副本</w:t>
                      </w:r>
                    </w:p>
                  </w:txbxContent>
                </v:textbox>
              </v:rect>
            </w:pict>
          </mc:Fallback>
        </mc:AlternateContent>
      </w:r>
    </w:p>
    <w:p>
      <w:pPr>
        <w:pStyle w:val="25"/>
        <w:tabs>
          <w:tab w:val="left" w:leader="dot" w:pos="7380"/>
        </w:tabs>
        <w:spacing w:before="100" w:beforeAutospacing="1" w:after="50" w:line="380" w:lineRule="exac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pStyle w:val="2"/>
        <w:rPr>
          <w:rFonts w:ascii="仿宋" w:hAnsi="仿宋" w:eastAsia="仿宋" w:cs="仿宋"/>
          <w:color w:val="auto"/>
        </w:rPr>
      </w:pPr>
    </w:p>
    <w:p>
      <w:pPr>
        <w:tabs>
          <w:tab w:val="left" w:leader="dot" w:pos="7380"/>
        </w:tabs>
        <w:snapToGrid w:val="0"/>
        <w:jc w:val="center"/>
        <w:rPr>
          <w:rFonts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pPr>
        <w:tabs>
          <w:tab w:val="left" w:leader="dot" w:pos="7380"/>
        </w:tabs>
        <w:snapToGrid w:val="0"/>
        <w:spacing w:line="324" w:lineRule="auto"/>
        <w:jc w:val="center"/>
        <w:rPr>
          <w:rFonts w:ascii="仿宋" w:hAnsi="仿宋" w:eastAsia="仿宋" w:cs="仿宋"/>
          <w:b/>
          <w:bCs/>
          <w:color w:val="auto"/>
          <w:sz w:val="32"/>
          <w:szCs w:val="32"/>
        </w:rPr>
      </w:pPr>
    </w:p>
    <w:p>
      <w:pPr>
        <w:tabs>
          <w:tab w:val="left" w:pos="4005"/>
          <w:tab w:val="left" w:leader="dot" w:pos="7380"/>
        </w:tabs>
        <w:snapToGrid w:val="0"/>
        <w:spacing w:line="360"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pStyle w:val="2"/>
        <w:rPr>
          <w:rFonts w:ascii="仿宋" w:hAnsi="仿宋" w:eastAsia="仿宋" w:cs="仿宋"/>
          <w:color w:val="auto"/>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日期：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 xml:space="preserve"> 年</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日</w:t>
      </w:r>
    </w:p>
    <w:p>
      <w:pPr>
        <w:tabs>
          <w:tab w:val="left" w:leader="dot" w:pos="7380"/>
        </w:tabs>
        <w:snapToGrid w:val="0"/>
        <w:spacing w:line="324" w:lineRule="auto"/>
        <w:ind w:firstLine="643" w:firstLineChars="200"/>
        <w:jc w:val="left"/>
        <w:rPr>
          <w:rFonts w:ascii="宋体" w:hAnsi="宋体" w:cs="宋体"/>
          <w:b/>
          <w:bCs/>
          <w:color w:val="auto"/>
          <w:sz w:val="32"/>
          <w:szCs w:val="32"/>
        </w:rPr>
      </w:pPr>
    </w:p>
    <w:p>
      <w:pPr>
        <w:tabs>
          <w:tab w:val="left" w:leader="dot" w:pos="7380"/>
        </w:tabs>
        <w:snapToGrid w:val="0"/>
        <w:spacing w:line="324" w:lineRule="auto"/>
        <w:jc w:val="center"/>
        <w:rPr>
          <w:rFonts w:ascii="宋体" w:hAnsi="宋体" w:cs="宋体"/>
          <w:b/>
          <w:bCs/>
          <w:color w:val="auto"/>
          <w:sz w:val="32"/>
          <w:szCs w:val="32"/>
        </w:rPr>
      </w:pPr>
    </w:p>
    <w:p>
      <w:pPr>
        <w:tabs>
          <w:tab w:val="left" w:leader="dot" w:pos="7380"/>
        </w:tabs>
        <w:snapToGrid w:val="0"/>
        <w:spacing w:line="324" w:lineRule="auto"/>
        <w:jc w:val="center"/>
        <w:rPr>
          <w:rFonts w:ascii="宋体" w:hAnsi="宋体" w:cs="宋体"/>
          <w:b/>
          <w:bCs/>
          <w:color w:val="auto"/>
          <w:sz w:val="32"/>
          <w:szCs w:val="32"/>
        </w:rPr>
      </w:pPr>
    </w:p>
    <w:p>
      <w:pPr>
        <w:pStyle w:val="2"/>
        <w:rPr>
          <w:rFonts w:ascii="宋体" w:hAnsi="宋体" w:cs="宋体"/>
          <w:b/>
          <w:color w:val="auto"/>
          <w:sz w:val="32"/>
          <w:szCs w:val="32"/>
        </w:rPr>
      </w:pPr>
    </w:p>
    <w:p>
      <w:pPr>
        <w:pStyle w:val="10"/>
        <w:rPr>
          <w:rFonts w:ascii="宋体" w:hAnsi="宋体" w:cs="宋体"/>
          <w:b/>
          <w:bCs/>
          <w:color w:val="auto"/>
          <w:sz w:val="32"/>
          <w:szCs w:val="32"/>
        </w:rPr>
      </w:pPr>
    </w:p>
    <w:p>
      <w:pPr>
        <w:widowControl/>
        <w:numPr>
          <w:ilvl w:val="255"/>
          <w:numId w:val="0"/>
        </w:numPr>
        <w:jc w:val="left"/>
        <w:rPr>
          <w:rFonts w:ascii="仿宋" w:hAnsi="仿宋" w:eastAsia="仿宋" w:cs="仿宋"/>
          <w:b/>
          <w:bCs/>
          <w:color w:val="auto"/>
          <w:sz w:val="24"/>
        </w:rPr>
      </w:pPr>
      <w:bookmarkStart w:id="61" w:name="_Toc4357"/>
      <w:r>
        <w:rPr>
          <w:rFonts w:hint="eastAsia" w:ascii="仿宋" w:hAnsi="仿宋" w:eastAsia="仿宋" w:cs="仿宋"/>
          <w:b/>
          <w:bCs/>
          <w:color w:val="auto"/>
          <w:sz w:val="24"/>
        </w:rPr>
        <w:br w:type="page"/>
      </w:r>
    </w:p>
    <w:p>
      <w:pPr>
        <w:widowControl/>
        <w:spacing w:line="480" w:lineRule="auto"/>
        <w:outlineLvl w:val="2"/>
        <w:rPr>
          <w:rFonts w:ascii="仿宋" w:hAnsi="仿宋" w:eastAsia="仿宋" w:cs="仿宋"/>
          <w:color w:val="auto"/>
          <w:sz w:val="24"/>
        </w:rPr>
      </w:pPr>
      <w:r>
        <w:rPr>
          <w:rFonts w:hint="eastAsia" w:ascii="仿宋" w:hAnsi="仿宋" w:eastAsia="仿宋" w:cs="仿宋"/>
          <w:b/>
          <w:bCs/>
          <w:color w:val="auto"/>
          <w:sz w:val="24"/>
        </w:rPr>
        <w:t>格式1-2</w:t>
      </w:r>
      <w:r>
        <w:rPr>
          <w:rFonts w:hint="eastAsia" w:ascii="仿宋" w:hAnsi="仿宋" w:cs="仿宋"/>
          <w:b/>
          <w:bCs/>
          <w:color w:val="auto"/>
          <w:sz w:val="24"/>
        </w:rPr>
        <w:t>:</w:t>
      </w:r>
      <w:r>
        <w:rPr>
          <w:rFonts w:hint="eastAsia" w:ascii="仿宋" w:hAnsi="仿宋" w:eastAsia="仿宋" w:cs="仿宋"/>
          <w:b/>
          <w:color w:val="auto"/>
          <w:sz w:val="24"/>
        </w:rPr>
        <w:t>法定代表人身份证明</w:t>
      </w:r>
      <w:bookmarkEnd w:id="61"/>
    </w:p>
    <w:p>
      <w:pPr>
        <w:widowControl/>
        <w:spacing w:line="360" w:lineRule="auto"/>
        <w:jc w:val="center"/>
        <w:rPr>
          <w:rFonts w:ascii="仿宋" w:hAnsi="仿宋" w:eastAsia="仿宋" w:cs="仿宋"/>
          <w:b/>
          <w:color w:val="auto"/>
          <w:sz w:val="36"/>
          <w:szCs w:val="36"/>
        </w:rPr>
      </w:pPr>
      <w:bookmarkStart w:id="62" w:name="_Toc12389"/>
      <w:r>
        <w:rPr>
          <w:rFonts w:hint="eastAsia" w:ascii="仿宋" w:hAnsi="仿宋" w:eastAsia="仿宋" w:cs="仿宋"/>
          <w:b/>
          <w:color w:val="auto"/>
          <w:sz w:val="36"/>
          <w:szCs w:val="36"/>
        </w:rPr>
        <w:t>法定代表人身份证明</w:t>
      </w:r>
      <w:bookmarkEnd w:id="62"/>
    </w:p>
    <w:p>
      <w:pPr>
        <w:spacing w:line="360" w:lineRule="auto"/>
        <w:ind w:firstLine="480" w:firstLineChars="200"/>
        <w:jc w:val="center"/>
        <w:rPr>
          <w:rFonts w:ascii="仿宋" w:hAnsi="仿宋" w:eastAsia="仿宋" w:cs="仿宋"/>
          <w:color w:val="auto"/>
          <w:sz w:val="24"/>
        </w:rPr>
      </w:pPr>
      <w:r>
        <w:rPr>
          <w:rFonts w:hint="eastAsia" w:ascii="仿宋" w:hAnsi="仿宋" w:eastAsia="仿宋" w:cs="仿宋"/>
          <w:color w:val="auto"/>
          <w:sz w:val="24"/>
        </w:rPr>
        <w:t>（实质性要求）</w:t>
      </w:r>
    </w:p>
    <w:p>
      <w:pPr>
        <w:spacing w:line="360" w:lineRule="auto"/>
        <w:ind w:firstLine="480" w:firstLineChars="200"/>
        <w:rPr>
          <w:rFonts w:ascii="仿宋" w:hAnsi="仿宋" w:eastAsia="仿宋" w:cs="仿宋"/>
          <w:color w:val="auto"/>
          <w:sz w:val="24"/>
        </w:rPr>
      </w:pP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供应商名称：</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单位性质：</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地址：</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成立时间：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月</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日</w:t>
      </w:r>
    </w:p>
    <w:p>
      <w:pPr>
        <w:spacing w:line="360" w:lineRule="auto"/>
        <w:ind w:firstLine="480" w:firstLineChars="200"/>
        <w:rPr>
          <w:rFonts w:ascii="仿宋" w:hAnsi="仿宋" w:eastAsia="仿宋" w:cs="仿宋"/>
          <w:color w:val="auto"/>
          <w:sz w:val="24"/>
          <w:u w:val="single"/>
        </w:rPr>
      </w:pPr>
      <w:r>
        <w:rPr>
          <w:rFonts w:hint="eastAsia" w:ascii="仿宋" w:hAnsi="仿宋" w:eastAsia="仿宋" w:cs="仿宋"/>
          <w:color w:val="auto"/>
          <w:sz w:val="24"/>
        </w:rPr>
        <w:t>经营期限：</w:t>
      </w:r>
    </w:p>
    <w:p>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rPr>
        <w:t>姓名：</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性 别：</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年龄：</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职 务：</w:t>
      </w:r>
      <w:r>
        <w:rPr>
          <w:rFonts w:hint="eastAsia" w:ascii="仿宋" w:hAnsi="仿宋" w:eastAsia="仿宋" w:cs="仿宋"/>
          <w:color w:val="auto"/>
          <w:sz w:val="24"/>
          <w:lang w:val="en-US" w:eastAsia="zh-CN"/>
        </w:rPr>
        <w:t xml:space="preserve">          </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系</w:t>
      </w:r>
      <w:r>
        <w:rPr>
          <w:rFonts w:hint="eastAsia" w:ascii="仿宋" w:hAnsi="仿宋" w:eastAsia="仿宋" w:cs="仿宋"/>
          <w:color w:val="auto"/>
          <w:sz w:val="24"/>
          <w:u w:val="single"/>
        </w:rPr>
        <w:t>（供应商名称）</w:t>
      </w:r>
      <w:r>
        <w:rPr>
          <w:rFonts w:hint="eastAsia" w:ascii="仿宋" w:hAnsi="仿宋" w:eastAsia="仿宋" w:cs="仿宋"/>
          <w:color w:val="auto"/>
          <w:sz w:val="24"/>
        </w:rPr>
        <w:t>的法定代表人。</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特此证明。</w:t>
      </w:r>
    </w:p>
    <w:p>
      <w:pPr>
        <w:spacing w:line="360" w:lineRule="auto"/>
        <w:rPr>
          <w:rFonts w:ascii="仿宋" w:hAnsi="仿宋" w:eastAsia="仿宋" w:cs="仿宋"/>
          <w:color w:val="auto"/>
          <w:szCs w:val="21"/>
        </w:rPr>
      </w:pPr>
    </w:p>
    <w:p>
      <w:pPr>
        <w:wordWrap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附：法定代表人身份证正反面影印件</w:t>
      </w:r>
      <w:r>
        <w:rPr>
          <w:rFonts w:hint="eastAsia" w:ascii="仿宋" w:hAnsi="仿宋" w:eastAsia="仿宋" w:cs="仿宋"/>
          <w:bCs/>
          <w:color w:val="auto"/>
          <w:sz w:val="24"/>
        </w:rPr>
        <w:t>加盖公章。</w:t>
      </w:r>
    </w:p>
    <w:p>
      <w:pPr>
        <w:spacing w:line="360" w:lineRule="auto"/>
        <w:rPr>
          <w:rFonts w:ascii="仿宋" w:hAnsi="仿宋" w:eastAsia="仿宋" w:cs="仿宋"/>
          <w:b/>
          <w:bCs/>
          <w:color w:val="auto"/>
          <w:sz w:val="36"/>
          <w:szCs w:val="36"/>
        </w:rPr>
      </w:pP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法定代表人（签字）：</w:t>
      </w:r>
    </w:p>
    <w:p>
      <w:pPr>
        <w:spacing w:line="360" w:lineRule="auto"/>
        <w:ind w:firstLine="480" w:firstLineChars="200"/>
        <w:rPr>
          <w:rFonts w:ascii="仿宋" w:hAnsi="仿宋" w:eastAsia="仿宋" w:cs="仿宋"/>
          <w:b/>
          <w:bCs/>
          <w:color w:val="auto"/>
          <w:spacing w:val="-2"/>
          <w:sz w:val="36"/>
          <w:szCs w:val="36"/>
        </w:rPr>
      </w:pPr>
      <w:r>
        <w:rPr>
          <w:rFonts w:hint="eastAsia" w:ascii="仿宋" w:hAnsi="仿宋" w:eastAsia="仿宋" w:cs="仿宋"/>
          <w:bCs/>
          <w:color w:val="auto"/>
          <w:sz w:val="24"/>
        </w:rPr>
        <w:t>日    期：</w:t>
      </w:r>
    </w:p>
    <w:p>
      <w:pPr>
        <w:spacing w:line="360" w:lineRule="auto"/>
        <w:jc w:val="left"/>
        <w:rPr>
          <w:rFonts w:ascii="仿宋" w:hAnsi="仿宋" w:eastAsia="仿宋" w:cs="仿宋"/>
          <w:bCs/>
          <w:color w:val="auto"/>
          <w:sz w:val="24"/>
        </w:rPr>
      </w:pPr>
    </w:p>
    <w:p>
      <w:pPr>
        <w:spacing w:line="360" w:lineRule="auto"/>
        <w:jc w:val="left"/>
        <w:rPr>
          <w:rFonts w:ascii="仿宋" w:hAnsi="仿宋" w:eastAsia="仿宋" w:cs="仿宋"/>
          <w:bCs/>
          <w:color w:val="auto"/>
          <w:sz w:val="24"/>
        </w:rPr>
      </w:pPr>
      <w:r>
        <w:rPr>
          <w:rFonts w:hint="eastAsia" w:ascii="仿宋" w:hAnsi="仿宋" w:eastAsia="仿宋" w:cs="仿宋"/>
          <w:bCs/>
          <w:color w:val="auto"/>
          <w:sz w:val="24"/>
        </w:rPr>
        <w:t>说明：</w:t>
      </w:r>
    </w:p>
    <w:p>
      <w:pPr>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① 供应商代表为法定代表人时提供。</w:t>
      </w:r>
    </w:p>
    <w:p>
      <w:pPr>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rPr>
        <w:t>② 银行、保险、石油石化、电力、电信等行业以非法人身份参加谈判的，“法定代表人”指代表单位行使职权的主要负责人，即与实际提交的“营业执照等证明文件”载明的一致。</w:t>
      </w:r>
    </w:p>
    <w:p>
      <w:pPr>
        <w:widowControl/>
        <w:spacing w:line="360" w:lineRule="auto"/>
        <w:jc w:val="left"/>
        <w:rPr>
          <w:rFonts w:ascii="宋体" w:hAnsi="宋体" w:cs="宋体"/>
          <w:b/>
          <w:bCs/>
          <w:color w:val="auto"/>
          <w:sz w:val="24"/>
        </w:rPr>
      </w:pPr>
    </w:p>
    <w:p>
      <w:pPr>
        <w:widowControl/>
        <w:spacing w:line="360" w:lineRule="auto"/>
        <w:jc w:val="left"/>
        <w:rPr>
          <w:rFonts w:ascii="宋体" w:hAnsi="宋体" w:cs="宋体"/>
          <w:b/>
          <w:bCs/>
          <w:color w:val="auto"/>
          <w:sz w:val="24"/>
        </w:rPr>
      </w:pPr>
    </w:p>
    <w:p>
      <w:pPr>
        <w:widowControl/>
        <w:spacing w:line="360" w:lineRule="auto"/>
        <w:jc w:val="left"/>
        <w:rPr>
          <w:rFonts w:ascii="宋体" w:hAnsi="宋体" w:cs="宋体"/>
          <w:b/>
          <w:bCs/>
          <w:color w:val="auto"/>
          <w:sz w:val="24"/>
        </w:rPr>
      </w:pPr>
    </w:p>
    <w:p>
      <w:pPr>
        <w:widowControl/>
        <w:spacing w:line="360" w:lineRule="auto"/>
        <w:jc w:val="left"/>
        <w:rPr>
          <w:rFonts w:ascii="宋体" w:hAnsi="宋体" w:cs="宋体"/>
          <w:b/>
          <w:bCs/>
          <w:color w:val="auto"/>
          <w:sz w:val="24"/>
        </w:rPr>
      </w:pPr>
    </w:p>
    <w:bookmarkEnd w:id="54"/>
    <w:bookmarkEnd w:id="55"/>
    <w:bookmarkEnd w:id="56"/>
    <w:bookmarkEnd w:id="57"/>
    <w:bookmarkEnd w:id="58"/>
    <w:bookmarkEnd w:id="59"/>
    <w:bookmarkEnd w:id="60"/>
    <w:p>
      <w:pPr>
        <w:jc w:val="left"/>
        <w:rPr>
          <w:rFonts w:ascii="仿宋" w:hAnsi="仿宋" w:eastAsia="仿宋" w:cs="仿宋"/>
          <w:b/>
          <w:bCs/>
          <w:color w:val="auto"/>
          <w:sz w:val="24"/>
        </w:rPr>
      </w:pPr>
      <w:bookmarkStart w:id="63" w:name="_Toc30155"/>
      <w:bookmarkStart w:id="64" w:name="_Toc19094"/>
      <w:r>
        <w:rPr>
          <w:rFonts w:hint="eastAsia" w:ascii="仿宋" w:hAnsi="仿宋" w:eastAsia="仿宋" w:cs="仿宋"/>
          <w:b/>
          <w:bCs/>
          <w:color w:val="auto"/>
          <w:sz w:val="24"/>
        </w:rPr>
        <w:br w:type="page"/>
      </w:r>
    </w:p>
    <w:p>
      <w:pPr>
        <w:spacing w:line="480" w:lineRule="auto"/>
        <w:jc w:val="left"/>
        <w:outlineLvl w:val="2"/>
        <w:rPr>
          <w:rFonts w:ascii="仿宋" w:hAnsi="仿宋" w:eastAsia="仿宋" w:cs="仿宋"/>
          <w:b/>
          <w:bCs/>
          <w:color w:val="auto"/>
          <w:spacing w:val="-2"/>
          <w:sz w:val="36"/>
          <w:szCs w:val="36"/>
        </w:rPr>
      </w:pPr>
      <w:r>
        <w:rPr>
          <w:rFonts w:hint="eastAsia" w:ascii="仿宋" w:hAnsi="仿宋" w:eastAsia="仿宋" w:cs="仿宋"/>
          <w:b/>
          <w:bCs/>
          <w:color w:val="auto"/>
          <w:sz w:val="24"/>
        </w:rPr>
        <w:t>格式1-3</w:t>
      </w:r>
      <w:r>
        <w:rPr>
          <w:rFonts w:hint="eastAsia" w:ascii="仿宋" w:hAnsi="仿宋" w:cs="仿宋"/>
          <w:b/>
          <w:bCs/>
          <w:color w:val="auto"/>
          <w:sz w:val="24"/>
        </w:rPr>
        <w:t>:</w:t>
      </w:r>
      <w:r>
        <w:rPr>
          <w:rFonts w:hint="eastAsia" w:ascii="仿宋" w:hAnsi="仿宋" w:eastAsia="仿宋" w:cs="仿宋"/>
          <w:b/>
          <w:bCs/>
          <w:color w:val="auto"/>
          <w:spacing w:val="-2"/>
          <w:sz w:val="24"/>
        </w:rPr>
        <w:t>法定代表人授权委托书</w:t>
      </w:r>
    </w:p>
    <w:p>
      <w:pPr>
        <w:spacing w:line="360" w:lineRule="auto"/>
        <w:jc w:val="center"/>
        <w:rPr>
          <w:rFonts w:ascii="仿宋" w:hAnsi="仿宋" w:eastAsia="仿宋" w:cs="仿宋"/>
          <w:b/>
          <w:color w:val="auto"/>
          <w:sz w:val="24"/>
        </w:rPr>
      </w:pPr>
      <w:bookmarkStart w:id="65" w:name="_Toc18432"/>
      <w:r>
        <w:rPr>
          <w:rFonts w:hint="eastAsia" w:ascii="仿宋" w:hAnsi="仿宋" w:eastAsia="仿宋" w:cs="仿宋"/>
          <w:b/>
          <w:bCs/>
          <w:color w:val="auto"/>
          <w:spacing w:val="-2"/>
          <w:sz w:val="36"/>
          <w:szCs w:val="36"/>
        </w:rPr>
        <w:t>法定代表人授权委托书</w:t>
      </w:r>
      <w:bookmarkEnd w:id="65"/>
    </w:p>
    <w:p>
      <w:pPr>
        <w:spacing w:line="360" w:lineRule="auto"/>
        <w:ind w:firstLine="480" w:firstLineChars="200"/>
        <w:jc w:val="center"/>
        <w:rPr>
          <w:rFonts w:ascii="仿宋" w:hAnsi="仿宋" w:eastAsia="仿宋" w:cs="仿宋"/>
          <w:color w:val="auto"/>
          <w:sz w:val="24"/>
        </w:rPr>
      </w:pPr>
      <w:r>
        <w:rPr>
          <w:rFonts w:hint="eastAsia" w:ascii="仿宋" w:hAnsi="仿宋" w:eastAsia="仿宋" w:cs="仿宋"/>
          <w:color w:val="auto"/>
          <w:sz w:val="24"/>
        </w:rPr>
        <w:t>（实质性要求）</w:t>
      </w:r>
    </w:p>
    <w:p>
      <w:pPr>
        <w:pStyle w:val="19"/>
        <w:snapToGrid w:val="0"/>
        <w:spacing w:line="360" w:lineRule="auto"/>
        <w:ind w:left="0" w:leftChars="0"/>
        <w:rPr>
          <w:rFonts w:ascii="仿宋" w:hAnsi="仿宋" w:eastAsia="仿宋" w:cs="仿宋"/>
          <w:bCs/>
          <w:color w:val="auto"/>
          <w:sz w:val="24"/>
        </w:rPr>
      </w:pPr>
      <w:r>
        <w:rPr>
          <w:rFonts w:hint="eastAsia" w:ascii="仿宋" w:hAnsi="仿宋" w:eastAsia="仿宋" w:cs="仿宋"/>
          <w:bCs/>
          <w:color w:val="auto"/>
          <w:sz w:val="24"/>
          <w:u w:val="single"/>
        </w:rPr>
        <w:t>XXXXXX（采购人名称）</w:t>
      </w:r>
      <w:r>
        <w:rPr>
          <w:rFonts w:hint="eastAsia" w:ascii="仿宋" w:hAnsi="仿宋" w:eastAsia="仿宋" w:cs="仿宋"/>
          <w:bCs/>
          <w:color w:val="auto"/>
          <w:sz w:val="24"/>
        </w:rPr>
        <w:t>：</w:t>
      </w:r>
    </w:p>
    <w:p>
      <w:pPr>
        <w:pStyle w:val="19"/>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本授权声明:___________（供应商名称）法定代表人___________（法定代表人姓名、职务）授权_________（被授权人姓名、职务）为我方参与 ___________项目（项目编号：</w:t>
      </w:r>
      <w:r>
        <w:rPr>
          <w:rFonts w:hint="eastAsia" w:ascii="仿宋" w:hAnsi="仿宋" w:eastAsia="仿宋" w:cs="仿宋"/>
          <w:bCs/>
          <w:color w:val="auto"/>
          <w:sz w:val="24"/>
          <w:lang w:val="en-US" w:eastAsia="zh-CN"/>
        </w:rPr>
        <w:t xml:space="preserve">        </w:t>
      </w:r>
      <w:r>
        <w:rPr>
          <w:rFonts w:hint="eastAsia" w:ascii="仿宋" w:hAnsi="仿宋" w:eastAsia="仿宋" w:cs="仿宋"/>
          <w:bCs/>
          <w:color w:val="auto"/>
          <w:sz w:val="24"/>
        </w:rPr>
        <w:t>）谈判活动的合法代表，以我方名义全权处理该项目有关谈判、签订合同以及执行合同等一切事宜。</w:t>
      </w:r>
    </w:p>
    <w:p>
      <w:pPr>
        <w:pStyle w:val="19"/>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特此授权。</w:t>
      </w:r>
    </w:p>
    <w:p>
      <w:pPr>
        <w:pStyle w:val="19"/>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附：法定代表人和授权代表身份证正反面影印件加盖公章。</w:t>
      </w:r>
    </w:p>
    <w:p>
      <w:pPr>
        <w:pStyle w:val="19"/>
        <w:snapToGrid w:val="0"/>
        <w:spacing w:line="360" w:lineRule="auto"/>
        <w:ind w:left="0" w:leftChars="0" w:firstLine="480" w:firstLineChars="200"/>
        <w:rPr>
          <w:rFonts w:ascii="仿宋" w:hAnsi="仿宋" w:eastAsia="仿宋" w:cs="仿宋"/>
          <w:bCs/>
          <w:color w:val="auto"/>
          <w:sz w:val="24"/>
        </w:rPr>
      </w:pPr>
    </w:p>
    <w:p>
      <w:pPr>
        <w:pStyle w:val="19"/>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pStyle w:val="19"/>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法定代表人签字：</w:t>
      </w:r>
    </w:p>
    <w:p>
      <w:pPr>
        <w:pStyle w:val="19"/>
        <w:snapToGrid w:val="0"/>
        <w:spacing w:line="360" w:lineRule="auto"/>
        <w:ind w:left="0" w:leftChars="0" w:firstLine="480" w:firstLineChars="200"/>
        <w:rPr>
          <w:rFonts w:ascii="仿宋" w:hAnsi="仿宋" w:eastAsia="仿宋" w:cs="仿宋"/>
          <w:bCs/>
          <w:color w:val="auto"/>
          <w:sz w:val="24"/>
          <w:szCs w:val="22"/>
        </w:rPr>
      </w:pPr>
      <w:r>
        <w:rPr>
          <w:rFonts w:hint="eastAsia" w:ascii="仿宋" w:hAnsi="仿宋" w:eastAsia="仿宋" w:cs="仿宋"/>
          <w:bCs/>
          <w:color w:val="auto"/>
          <w:sz w:val="24"/>
        </w:rPr>
        <w:t>授权代表签字：</w:t>
      </w:r>
    </w:p>
    <w:p>
      <w:pPr>
        <w:pStyle w:val="19"/>
        <w:snapToGrid w:val="0"/>
        <w:spacing w:line="360" w:lineRule="auto"/>
        <w:ind w:left="0" w:leftChars="0" w:firstLine="480" w:firstLineChars="200"/>
        <w:rPr>
          <w:rFonts w:ascii="仿宋" w:hAnsi="仿宋" w:eastAsia="仿宋" w:cs="仿宋"/>
          <w:bCs/>
          <w:color w:val="auto"/>
          <w:sz w:val="24"/>
          <w:szCs w:val="22"/>
        </w:rPr>
      </w:pPr>
      <w:r>
        <w:rPr>
          <w:rFonts w:hint="eastAsia" w:ascii="仿宋" w:hAnsi="仿宋" w:eastAsia="仿宋" w:cs="仿宋"/>
          <w:bCs/>
          <w:color w:val="auto"/>
          <w:sz w:val="24"/>
          <w:szCs w:val="22"/>
        </w:rPr>
        <w:t>日    期：</w:t>
      </w:r>
    </w:p>
    <w:p>
      <w:pPr>
        <w:pStyle w:val="19"/>
        <w:snapToGrid w:val="0"/>
        <w:spacing w:line="360" w:lineRule="auto"/>
        <w:ind w:left="0" w:leftChars="0" w:firstLine="480" w:firstLineChars="200"/>
        <w:rPr>
          <w:rFonts w:ascii="仿宋" w:hAnsi="仿宋" w:eastAsia="仿宋" w:cs="仿宋"/>
          <w:bCs/>
          <w:color w:val="auto"/>
          <w:sz w:val="24"/>
          <w:szCs w:val="22"/>
        </w:rPr>
      </w:pPr>
    </w:p>
    <w:p>
      <w:pPr>
        <w:pStyle w:val="19"/>
        <w:snapToGrid w:val="0"/>
        <w:spacing w:line="360" w:lineRule="auto"/>
        <w:ind w:left="0" w:leftChars="0" w:firstLine="480" w:firstLineChars="200"/>
        <w:rPr>
          <w:rFonts w:ascii="仿宋" w:hAnsi="仿宋" w:eastAsia="仿宋" w:cs="仿宋"/>
          <w:bCs/>
          <w:color w:val="auto"/>
          <w:sz w:val="24"/>
          <w:szCs w:val="22"/>
        </w:rPr>
      </w:pPr>
    </w:p>
    <w:p>
      <w:pPr>
        <w:widowControl/>
        <w:spacing w:line="360" w:lineRule="auto"/>
        <w:jc w:val="left"/>
        <w:rPr>
          <w:rFonts w:ascii="仿宋" w:hAnsi="仿宋" w:eastAsia="仿宋" w:cs="仿宋"/>
          <w:bCs/>
          <w:color w:val="auto"/>
          <w:sz w:val="24"/>
        </w:rPr>
      </w:pPr>
      <w:r>
        <w:rPr>
          <w:rFonts w:hint="eastAsia" w:ascii="仿宋" w:hAnsi="仿宋" w:eastAsia="仿宋" w:cs="仿宋"/>
          <w:color w:val="auto"/>
          <w:kern w:val="0"/>
          <w:sz w:val="24"/>
        </w:rPr>
        <w:t xml:space="preserve">说明： </w:t>
      </w:r>
      <w:r>
        <w:rPr>
          <w:rFonts w:hint="eastAsia" w:ascii="仿宋" w:hAnsi="仿宋" w:eastAsia="仿宋" w:cs="仿宋"/>
          <w:bCs/>
          <w:color w:val="auto"/>
          <w:sz w:val="24"/>
        </w:rPr>
        <w:t>供应商代表为非法定代表人时提供。</w:t>
      </w:r>
    </w:p>
    <w:bookmarkEnd w:id="63"/>
    <w:bookmarkEnd w:id="64"/>
    <w:p>
      <w:pPr>
        <w:widowControl/>
        <w:jc w:val="left"/>
        <w:rPr>
          <w:rFonts w:ascii="仿宋" w:hAnsi="仿宋" w:eastAsia="仿宋" w:cs="仿宋"/>
          <w:b/>
          <w:bCs/>
          <w:color w:val="auto"/>
          <w:sz w:val="24"/>
        </w:rPr>
      </w:pPr>
      <w:r>
        <w:rPr>
          <w:rFonts w:hint="eastAsia" w:ascii="仿宋" w:hAnsi="仿宋" w:eastAsia="仿宋" w:cs="仿宋"/>
          <w:b/>
          <w:bCs/>
          <w:color w:val="auto"/>
          <w:sz w:val="24"/>
        </w:rPr>
        <w:br w:type="page"/>
      </w:r>
    </w:p>
    <w:p>
      <w:pPr>
        <w:widowControl/>
        <w:spacing w:line="480" w:lineRule="auto"/>
        <w:jc w:val="left"/>
        <w:outlineLvl w:val="2"/>
        <w:rPr>
          <w:rFonts w:ascii="仿宋" w:hAnsi="仿宋" w:eastAsia="仿宋" w:cs="仿宋"/>
          <w:b/>
          <w:bCs/>
          <w:color w:val="auto"/>
          <w:spacing w:val="-2"/>
          <w:sz w:val="24"/>
        </w:rPr>
      </w:pPr>
      <w:r>
        <w:rPr>
          <w:rFonts w:hint="eastAsia" w:ascii="仿宋" w:hAnsi="仿宋" w:eastAsia="仿宋" w:cs="仿宋"/>
          <w:b/>
          <w:bCs/>
          <w:color w:val="auto"/>
          <w:spacing w:val="-2"/>
          <w:sz w:val="24"/>
        </w:rPr>
        <w:t>格式1-4:资格声明函</w:t>
      </w:r>
    </w:p>
    <w:p>
      <w:pPr>
        <w:widowControl/>
        <w:spacing w:line="360" w:lineRule="auto"/>
        <w:jc w:val="center"/>
        <w:rPr>
          <w:rFonts w:ascii="仿宋" w:hAnsi="仿宋" w:eastAsia="仿宋" w:cs="仿宋"/>
          <w:b/>
          <w:bCs/>
          <w:color w:val="auto"/>
          <w:sz w:val="30"/>
          <w:szCs w:val="30"/>
        </w:rPr>
      </w:pPr>
      <w:r>
        <w:rPr>
          <w:rFonts w:hint="eastAsia" w:ascii="仿宋" w:hAnsi="仿宋" w:eastAsia="仿宋" w:cs="仿宋"/>
          <w:b/>
          <w:bCs/>
          <w:color w:val="auto"/>
          <w:spacing w:val="-2"/>
          <w:sz w:val="36"/>
          <w:szCs w:val="36"/>
        </w:rPr>
        <w:t>资格声明函</w:t>
      </w:r>
    </w:p>
    <w:p>
      <w:pPr>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p>
      <w:pPr>
        <w:widowControl/>
        <w:spacing w:line="360" w:lineRule="auto"/>
        <w:jc w:val="left"/>
        <w:rPr>
          <w:rFonts w:ascii="仿宋" w:hAnsi="仿宋" w:eastAsia="仿宋"/>
          <w:color w:val="auto"/>
          <w:sz w:val="24"/>
        </w:rPr>
      </w:pPr>
      <w:r>
        <w:rPr>
          <w:rFonts w:hint="eastAsia" w:ascii="仿宋" w:hAnsi="仿宋" w:eastAsia="仿宋" w:cs="仿宋"/>
          <w:bCs/>
          <w:color w:val="auto"/>
          <w:sz w:val="24"/>
          <w:u w:val="single"/>
        </w:rPr>
        <w:t>XXXXXX（采购人名称）</w:t>
      </w:r>
      <w:r>
        <w:rPr>
          <w:rFonts w:hint="eastAsia" w:ascii="仿宋" w:hAnsi="仿宋" w:eastAsia="仿宋" w:cs="仿宋"/>
          <w:color w:val="auto"/>
          <w:sz w:val="24"/>
        </w:rPr>
        <w:t>：</w:t>
      </w:r>
    </w:p>
    <w:p>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rPr>
        <w:t>我方作为本次采购项目的供应商，根据采购文件要求，现郑重声明如下：</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一、我方</w:t>
      </w:r>
      <w:r>
        <w:rPr>
          <w:rFonts w:hint="eastAsia" w:ascii="仿宋" w:hAnsi="仿宋" w:eastAsia="仿宋" w:cs="仿宋"/>
          <w:bCs/>
          <w:color w:val="auto"/>
          <w:sz w:val="24"/>
        </w:rPr>
        <w:t>具有独立承担民事责任的能力。</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二、我方</w:t>
      </w:r>
      <w:r>
        <w:rPr>
          <w:rFonts w:hint="eastAsia" w:ascii="仿宋" w:hAnsi="仿宋" w:eastAsia="仿宋" w:cs="仿宋"/>
          <w:bCs/>
          <w:color w:val="auto"/>
          <w:sz w:val="24"/>
        </w:rPr>
        <w:t>具有良好的商业信誉和健全的财务会计制度。</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三、我方</w:t>
      </w:r>
      <w:r>
        <w:rPr>
          <w:rFonts w:hint="eastAsia" w:ascii="仿宋" w:hAnsi="仿宋" w:eastAsia="仿宋" w:cs="仿宋"/>
          <w:bCs/>
          <w:color w:val="auto"/>
          <w:sz w:val="24"/>
        </w:rPr>
        <w:t>具有履行合同所必需的设备和专业技术能力。</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四、我方具</w:t>
      </w:r>
      <w:r>
        <w:rPr>
          <w:rFonts w:hint="eastAsia" w:ascii="仿宋" w:hAnsi="仿宋" w:eastAsia="仿宋" w:cs="仿宋"/>
          <w:bCs/>
          <w:color w:val="auto"/>
          <w:sz w:val="24"/>
        </w:rPr>
        <w:t>有依法缴纳税收和社会保障资金的良好记录。</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五、我方</w:t>
      </w:r>
      <w:r>
        <w:rPr>
          <w:rFonts w:hint="eastAsia" w:ascii="仿宋" w:hAnsi="仿宋" w:eastAsia="仿宋" w:cs="仿宋"/>
          <w:bCs/>
          <w:color w:val="auto"/>
          <w:sz w:val="24"/>
        </w:rPr>
        <w:t>参加本次采购活动前三年内，在经营活动中没有重大违法记录；</w:t>
      </w:r>
    </w:p>
    <w:p>
      <w:pPr>
        <w:spacing w:line="360" w:lineRule="auto"/>
        <w:ind w:firstLine="480"/>
        <w:rPr>
          <w:rFonts w:ascii="仿宋" w:hAnsi="仿宋" w:eastAsia="仿宋" w:cs="仿宋"/>
          <w:bCs/>
          <w:color w:val="auto"/>
          <w:sz w:val="24"/>
        </w:rPr>
      </w:pPr>
      <w:r>
        <w:rPr>
          <w:rFonts w:hint="eastAsia" w:ascii="仿宋" w:hAnsi="仿宋" w:eastAsia="仿宋" w:cs="仿宋"/>
          <w:color w:val="auto"/>
          <w:sz w:val="24"/>
        </w:rPr>
        <w:t>六、我方符合</w:t>
      </w:r>
      <w:r>
        <w:rPr>
          <w:rFonts w:hint="eastAsia" w:ascii="仿宋" w:hAnsi="仿宋" w:eastAsia="仿宋" w:cs="仿宋"/>
          <w:bCs/>
          <w:color w:val="auto"/>
          <w:sz w:val="24"/>
        </w:rPr>
        <w:t>法律、行政法规规定的其他条件。</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七、截至响应文件递交截止日，我方未被列入失信被执行人、重大税收违法案件当事人名单、政府采购严重违法失信行为记录名单。</w:t>
      </w:r>
    </w:p>
    <w:p>
      <w:pPr>
        <w:widowControl/>
        <w:spacing w:line="360" w:lineRule="auto"/>
        <w:ind w:firstLine="480" w:firstLineChars="200"/>
        <w:jc w:val="left"/>
        <w:rPr>
          <w:rFonts w:ascii="仿宋" w:eastAsia="仿宋" w:cs="仿宋"/>
          <w:bCs/>
          <w:color w:val="auto"/>
          <w:sz w:val="24"/>
        </w:rPr>
      </w:pPr>
      <w:r>
        <w:rPr>
          <w:rFonts w:hint="eastAsia" w:ascii="仿宋" w:eastAsia="仿宋" w:cs="仿宋"/>
          <w:bCs/>
          <w:color w:val="auto"/>
          <w:sz w:val="24"/>
        </w:rPr>
        <w:t>八、我单位及其现任法定代表人、主要负责人在参加本次</w:t>
      </w:r>
      <w:r>
        <w:rPr>
          <w:rFonts w:hint="eastAsia" w:ascii="仿宋" w:hAnsi="仿宋" w:eastAsia="仿宋" w:cs="仿宋"/>
          <w:color w:val="auto"/>
          <w:sz w:val="24"/>
        </w:rPr>
        <w:t>政府</w:t>
      </w:r>
      <w:r>
        <w:rPr>
          <w:rFonts w:hint="eastAsia" w:ascii="仿宋" w:eastAsia="仿宋" w:cs="仿宋"/>
          <w:bCs/>
          <w:color w:val="auto"/>
          <w:sz w:val="24"/>
        </w:rPr>
        <w:t>采购活动前三年内无行贿犯罪记录。</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九、我方符合第二章供应商须知前附表“充分、公平竞争保障措施”的规定。</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十、与我方存在直接控股关系的单位为：</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；存在管理关系单位为：</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。（如果没有的，填写“无”）</w:t>
      </w:r>
    </w:p>
    <w:p>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rPr>
        <w:t>本单位对上述承诺的内容事项真实性负责。如经查实上述承诺的内容事项存在虚假，我方愿意依法承担因提供虚假材料谋取成交的法律责任。</w:t>
      </w:r>
    </w:p>
    <w:p>
      <w:pPr>
        <w:widowControl/>
        <w:spacing w:line="360" w:lineRule="auto"/>
        <w:ind w:firstLine="480" w:firstLineChars="200"/>
        <w:jc w:val="left"/>
        <w:rPr>
          <w:rFonts w:ascii="仿宋" w:hAnsi="仿宋" w:eastAsia="仿宋"/>
          <w:color w:val="auto"/>
          <w:sz w:val="24"/>
        </w:rPr>
      </w:pPr>
    </w:p>
    <w:p>
      <w:pPr>
        <w:widowControl/>
        <w:wordWrap w:val="0"/>
        <w:spacing w:line="360" w:lineRule="auto"/>
        <w:rPr>
          <w:rFonts w:ascii="仿宋" w:hAnsi="仿宋" w:eastAsia="仿宋" w:cs="仿宋"/>
          <w:color w:val="auto"/>
          <w:sz w:val="24"/>
        </w:rPr>
      </w:pPr>
    </w:p>
    <w:p>
      <w:pPr>
        <w:widowControl/>
        <w:wordWrap w:val="0"/>
        <w:spacing w:line="360" w:lineRule="auto"/>
        <w:rPr>
          <w:rFonts w:ascii="仿宋" w:hAnsi="仿宋" w:eastAsia="仿宋" w:cs="仿宋"/>
          <w:color w:val="auto"/>
          <w:sz w:val="24"/>
        </w:rPr>
      </w:pPr>
    </w:p>
    <w:p>
      <w:pPr>
        <w:widowControl/>
        <w:wordWrap w:val="0"/>
        <w:spacing w:line="360" w:lineRule="auto"/>
        <w:rPr>
          <w:rFonts w:ascii="仿宋" w:hAnsi="仿宋" w:eastAsia="仿宋" w:cs="仿宋"/>
          <w:color w:val="auto"/>
          <w:sz w:val="24"/>
        </w:rPr>
      </w:pPr>
    </w:p>
    <w:p>
      <w:pPr>
        <w:widowControl/>
        <w:wordWrap w:val="0"/>
        <w:spacing w:line="360" w:lineRule="auto"/>
        <w:ind w:firstLine="480" w:firstLineChars="200"/>
        <w:rPr>
          <w:rFonts w:ascii="仿宋" w:hAnsi="仿宋" w:eastAsia="仿宋"/>
          <w:color w:val="auto"/>
          <w:sz w:val="24"/>
        </w:rPr>
      </w:pPr>
      <w:r>
        <w:rPr>
          <w:rFonts w:hint="eastAsia" w:ascii="仿宋" w:hAnsi="仿宋" w:eastAsia="仿宋" w:cs="仿宋"/>
          <w:color w:val="auto"/>
          <w:sz w:val="24"/>
        </w:rPr>
        <w:t>供应商名称（单位公章）：</w:t>
      </w:r>
    </w:p>
    <w:p>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日期：</w:t>
      </w:r>
    </w:p>
    <w:p>
      <w:pPr>
        <w:spacing w:line="360" w:lineRule="auto"/>
        <w:outlineLvl w:val="2"/>
        <w:rPr>
          <w:rFonts w:ascii="仿宋" w:hAnsi="仿宋" w:eastAsia="仿宋" w:cs="仿宋"/>
          <w:b/>
          <w:bCs/>
          <w:color w:val="auto"/>
          <w:spacing w:val="-2"/>
          <w:sz w:val="24"/>
        </w:rPr>
      </w:pPr>
      <w:r>
        <w:rPr>
          <w:rFonts w:hint="eastAsia" w:ascii="仿宋" w:hAnsi="仿宋" w:eastAsia="仿宋" w:cs="仿宋"/>
          <w:color w:val="auto"/>
          <w:sz w:val="24"/>
          <w:lang w:val="zh-CN"/>
        </w:rPr>
        <w:br w:type="page"/>
      </w:r>
      <w:bookmarkStart w:id="66" w:name="_Toc28757"/>
      <w:bookmarkStart w:id="67" w:name="_Toc28015"/>
      <w:r>
        <w:rPr>
          <w:rFonts w:hint="eastAsia" w:ascii="仿宋" w:hAnsi="仿宋" w:eastAsia="仿宋" w:cs="仿宋"/>
          <w:b/>
          <w:bCs/>
          <w:color w:val="auto"/>
          <w:sz w:val="24"/>
        </w:rPr>
        <w:t>格式1-5</w:t>
      </w:r>
      <w:r>
        <w:rPr>
          <w:rFonts w:hint="eastAsia" w:ascii="仿宋" w:hAnsi="仿宋" w:eastAsia="仿宋" w:cs="仿宋"/>
          <w:b/>
          <w:bCs/>
          <w:color w:val="auto"/>
          <w:spacing w:val="-2"/>
          <w:sz w:val="24"/>
        </w:rPr>
        <w:t>:供应商应提供的其他资格相关证明材料</w:t>
      </w:r>
    </w:p>
    <w:p>
      <w:pPr>
        <w:widowControl/>
        <w:spacing w:beforeLines="100" w:afterLines="100"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供应商应提供的其他资格相关证明材料</w:t>
      </w:r>
    </w:p>
    <w:p>
      <w:pPr>
        <w:spacing w:line="360" w:lineRule="auto"/>
        <w:ind w:firstLine="480" w:firstLineChars="200"/>
        <w:rPr>
          <w:rFonts w:ascii="仿宋" w:hAnsi="仿宋" w:eastAsia="仿宋" w:cs="仿宋"/>
          <w:color w:val="auto"/>
          <w:sz w:val="24"/>
        </w:rPr>
      </w:pP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注：供应商应按采购文件第四章相关要求提供佐证材料，有格式要求的从其要求，无格式要求的格式自拟。</w:t>
      </w:r>
    </w:p>
    <w:bookmarkEnd w:id="66"/>
    <w:bookmarkEnd w:id="67"/>
    <w:p>
      <w:pPr>
        <w:snapToGrid w:val="0"/>
        <w:spacing w:line="360" w:lineRule="auto"/>
        <w:jc w:val="left"/>
        <w:rPr>
          <w:rFonts w:ascii="仿宋" w:hAnsi="仿宋" w:eastAsia="仿宋" w:cs="仿宋"/>
          <w:b/>
          <w:color w:val="auto"/>
          <w:sz w:val="36"/>
          <w:szCs w:val="36"/>
        </w:rPr>
      </w:pPr>
      <w:bookmarkStart w:id="68" w:name="_Toc14975"/>
      <w:bookmarkStart w:id="69" w:name="_Toc21416"/>
      <w:r>
        <w:rPr>
          <w:rFonts w:hint="eastAsia" w:ascii="仿宋" w:hAnsi="仿宋" w:eastAsia="仿宋" w:cs="仿宋"/>
          <w:b/>
          <w:color w:val="auto"/>
          <w:sz w:val="36"/>
          <w:szCs w:val="36"/>
        </w:rPr>
        <w:br w:type="page"/>
      </w:r>
    </w:p>
    <w:bookmarkEnd w:id="68"/>
    <w:bookmarkEnd w:id="69"/>
    <w:p>
      <w:p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第二部分“其他响应文件”格式</w:t>
      </w:r>
    </w:p>
    <w:p>
      <w:pPr>
        <w:pStyle w:val="2"/>
        <w:rPr>
          <w:color w:val="auto"/>
        </w:rPr>
      </w:pPr>
    </w:p>
    <w:p>
      <w:pPr>
        <w:tabs>
          <w:tab w:val="left" w:leader="dot" w:pos="7380"/>
        </w:tabs>
        <w:snapToGrid w:val="0"/>
        <w:spacing w:line="324" w:lineRule="auto"/>
        <w:outlineLvl w:val="2"/>
        <w:rPr>
          <w:rFonts w:ascii="仿宋" w:hAnsi="仿宋" w:eastAsia="仿宋" w:cs="仿宋"/>
          <w:b/>
          <w:bCs/>
          <w:color w:val="auto"/>
          <w:sz w:val="24"/>
        </w:rPr>
      </w:pPr>
      <w:r>
        <w:rPr>
          <w:rFonts w:hint="eastAsia" w:ascii="仿宋" w:hAnsi="仿宋" w:eastAsia="仿宋" w:cs="仿宋"/>
          <w:b/>
          <w:color w:val="auto"/>
          <w:sz w:val="24"/>
        </w:rPr>
        <w:t>格式2-1</w:t>
      </w:r>
      <w:r>
        <w:rPr>
          <w:rFonts w:hint="eastAsia" w:ascii="仿宋" w:hAnsi="仿宋" w:cs="仿宋"/>
          <w:b/>
          <w:bCs/>
          <w:color w:val="auto"/>
          <w:sz w:val="24"/>
        </w:rPr>
        <w:t>:</w:t>
      </w:r>
      <w:r>
        <w:rPr>
          <w:rFonts w:hint="eastAsia" w:ascii="仿宋" w:hAnsi="仿宋" w:eastAsia="仿宋" w:cs="仿宋"/>
          <w:b/>
          <w:bCs/>
          <w:color w:val="auto"/>
          <w:sz w:val="24"/>
        </w:rPr>
        <w:t>其他响应文件封面</w:t>
      </w:r>
    </w:p>
    <w:p>
      <w:pPr>
        <w:pStyle w:val="2"/>
        <w:rPr>
          <w:rFonts w:ascii="仿宋" w:hAnsi="仿宋" w:eastAsia="仿宋" w:cs="仿宋"/>
          <w:b/>
          <w:color w:val="auto"/>
          <w:sz w:val="30"/>
          <w:szCs w:val="30"/>
        </w:rPr>
      </w:pPr>
    </w:p>
    <w:p>
      <w:pPr>
        <w:rPr>
          <w:rFonts w:ascii="仿宋" w:hAnsi="仿宋" w:eastAsia="仿宋" w:cs="仿宋"/>
          <w:color w:val="auto"/>
        </w:rPr>
      </w:pPr>
    </w:p>
    <w:p>
      <w:pPr>
        <w:tabs>
          <w:tab w:val="left" w:leader="dot" w:pos="7380"/>
        </w:tabs>
        <w:snapToGrid w:val="0"/>
        <w:spacing w:line="324" w:lineRule="auto"/>
        <w:jc w:val="left"/>
        <w:rPr>
          <w:rFonts w:ascii="仿宋" w:hAnsi="仿宋" w:eastAsia="仿宋" w:cs="仿宋"/>
          <w:b/>
          <w:bCs/>
          <w:color w:val="auto"/>
          <w:sz w:val="32"/>
          <w:szCs w:val="32"/>
        </w:rPr>
      </w:pPr>
      <w:r>
        <w:rPr>
          <w:rFonts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pPr>
                        <w:spacing w:line="360" w:lineRule="auto"/>
                        <w:jc w:val="center"/>
                        <w:rPr>
                          <w:b/>
                          <w:sz w:val="36"/>
                          <w:szCs w:val="36"/>
                        </w:rPr>
                      </w:pPr>
                      <w:r>
                        <w:rPr>
                          <w:rFonts w:hint="eastAsia"/>
                          <w:b/>
                          <w:sz w:val="36"/>
                          <w:szCs w:val="36"/>
                        </w:rPr>
                        <w:t>正本或副本</w:t>
                      </w:r>
                    </w:p>
                  </w:txbxContent>
                </v:textbox>
              </v:rect>
            </w:pict>
          </mc:Fallback>
        </mc:AlternateContent>
      </w:r>
    </w:p>
    <w:p>
      <w:pPr>
        <w:pStyle w:val="25"/>
        <w:tabs>
          <w:tab w:val="left" w:leader="dot" w:pos="7380"/>
        </w:tabs>
        <w:spacing w:before="100" w:beforeAutospacing="1" w:after="50" w:line="380" w:lineRule="exact"/>
        <w:rPr>
          <w:rFonts w:ascii="仿宋" w:hAnsi="仿宋" w:eastAsia="仿宋" w:cs="仿宋"/>
          <w:b/>
          <w:bCs/>
          <w:color w:val="auto"/>
          <w:sz w:val="32"/>
          <w:szCs w:val="32"/>
        </w:rPr>
      </w:pPr>
    </w:p>
    <w:p>
      <w:pPr>
        <w:tabs>
          <w:tab w:val="left" w:leader="dot" w:pos="7380"/>
        </w:tabs>
        <w:snapToGrid w:val="0"/>
        <w:jc w:val="center"/>
        <w:rPr>
          <w:rFonts w:ascii="仿宋" w:hAnsi="仿宋" w:eastAsia="仿宋" w:cs="仿宋"/>
          <w:b/>
          <w:bCs/>
          <w:color w:val="auto"/>
          <w:sz w:val="84"/>
          <w:szCs w:val="84"/>
        </w:rPr>
      </w:pPr>
    </w:p>
    <w:p>
      <w:pPr>
        <w:pStyle w:val="2"/>
        <w:rPr>
          <w:rFonts w:ascii="仿宋" w:hAnsi="仿宋" w:eastAsia="仿宋" w:cs="仿宋"/>
          <w:color w:val="auto"/>
        </w:rPr>
      </w:pPr>
    </w:p>
    <w:p>
      <w:pPr>
        <w:pStyle w:val="2"/>
        <w:rPr>
          <w:rFonts w:ascii="仿宋" w:hAnsi="仿宋" w:eastAsia="仿宋" w:cs="仿宋"/>
          <w:color w:val="auto"/>
        </w:rPr>
      </w:pPr>
    </w:p>
    <w:p>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其他响应文件</w:t>
      </w: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pStyle w:val="2"/>
        <w:rPr>
          <w:rFonts w:ascii="仿宋" w:hAnsi="仿宋" w:eastAsia="仿宋" w:cs="仿宋"/>
          <w:color w:val="auto"/>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tabs>
          <w:tab w:val="left" w:leader="dot" w:pos="7380"/>
        </w:tabs>
        <w:snapToGrid w:val="0"/>
        <w:spacing w:line="324"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日 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日</w:t>
      </w:r>
    </w:p>
    <w:p>
      <w:pPr>
        <w:spacing w:line="480" w:lineRule="auto"/>
        <w:jc w:val="left"/>
        <w:rPr>
          <w:rFonts w:ascii="仿宋" w:hAnsi="仿宋" w:eastAsia="仿宋" w:cs="仿宋"/>
          <w:b/>
          <w:bCs/>
          <w:color w:val="auto"/>
          <w:sz w:val="24"/>
        </w:rPr>
      </w:pPr>
    </w:p>
    <w:p>
      <w:pPr>
        <w:spacing w:line="480" w:lineRule="auto"/>
        <w:jc w:val="left"/>
        <w:rPr>
          <w:rFonts w:ascii="仿宋" w:hAnsi="仿宋" w:eastAsia="仿宋" w:cs="仿宋"/>
          <w:b/>
          <w:bCs/>
          <w:color w:val="auto"/>
          <w:sz w:val="24"/>
        </w:rPr>
      </w:pPr>
    </w:p>
    <w:p>
      <w:pPr>
        <w:spacing w:before="100" w:beforeAutospacing="1" w:after="50" w:line="380" w:lineRule="exact"/>
        <w:rPr>
          <w:rFonts w:ascii="仿宋" w:hAnsi="仿宋" w:eastAsia="仿宋" w:cs="仿宋"/>
          <w:b/>
          <w:bCs/>
          <w:color w:val="auto"/>
          <w:sz w:val="24"/>
        </w:rPr>
      </w:pPr>
      <w:bookmarkStart w:id="70" w:name="_Toc31804"/>
      <w:bookmarkStart w:id="71" w:name="_Toc4383"/>
      <w:r>
        <w:rPr>
          <w:rFonts w:hint="eastAsia" w:ascii="仿宋" w:hAnsi="仿宋" w:eastAsia="仿宋" w:cs="仿宋"/>
          <w:b/>
          <w:bCs/>
          <w:color w:val="auto"/>
          <w:sz w:val="24"/>
        </w:rPr>
        <w:br w:type="page"/>
      </w:r>
    </w:p>
    <w:bookmarkEnd w:id="70"/>
    <w:bookmarkEnd w:id="71"/>
    <w:p>
      <w:pPr>
        <w:pStyle w:val="7"/>
        <w:rPr>
          <w:rStyle w:val="78"/>
          <w:rFonts w:ascii="仿宋" w:hAnsi="仿宋" w:eastAsia="仿宋" w:cs="仿宋"/>
          <w:b/>
          <w:color w:val="auto"/>
          <w:sz w:val="32"/>
          <w:szCs w:val="32"/>
        </w:rPr>
      </w:pPr>
      <w:bookmarkStart w:id="72" w:name="_Toc28170"/>
      <w:bookmarkStart w:id="73" w:name="_Toc4608"/>
      <w:bookmarkStart w:id="74" w:name="_Toc21273"/>
      <w:r>
        <w:rPr>
          <w:rStyle w:val="118"/>
          <w:rFonts w:hint="eastAsia" w:ascii="仿宋" w:hAnsi="仿宋" w:cs="仿宋"/>
          <w:b/>
          <w:color w:val="auto"/>
          <w:szCs w:val="24"/>
        </w:rPr>
        <w:t>格式2-2</w:t>
      </w:r>
      <w:r>
        <w:rPr>
          <w:rFonts w:hint="eastAsia" w:ascii="仿宋" w:hAnsi="仿宋" w:cs="仿宋"/>
          <w:color w:val="auto"/>
          <w:sz w:val="24"/>
          <w:szCs w:val="24"/>
        </w:rPr>
        <w:t>:</w:t>
      </w:r>
      <w:r>
        <w:rPr>
          <w:rStyle w:val="118"/>
          <w:rFonts w:hint="eastAsia" w:ascii="仿宋" w:hAnsi="仿宋" w:cs="仿宋"/>
          <w:b/>
          <w:color w:val="auto"/>
          <w:szCs w:val="24"/>
        </w:rPr>
        <w:t>技术服务应答表</w:t>
      </w:r>
    </w:p>
    <w:p>
      <w:pPr>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技术服务应答表</w:t>
      </w:r>
    </w:p>
    <w:p>
      <w:pPr>
        <w:pStyle w:val="2"/>
        <w:rPr>
          <w:color w:val="auto"/>
        </w:rPr>
      </w:pPr>
    </w:p>
    <w:p>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pPr>
        <w:pStyle w:val="22"/>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谈判文件的质量、技术和服务要求（详见谈判文件第五章）</w:t>
            </w:r>
          </w:p>
        </w:tc>
        <w:tc>
          <w:tcPr>
            <w:tcW w:w="2557"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供应商对谈判文件的质量、技术和服务要求响应情况</w:t>
            </w:r>
          </w:p>
        </w:tc>
        <w:tc>
          <w:tcPr>
            <w:tcW w:w="1267"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应答说明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pPr>
              <w:keepNext w:val="0"/>
              <w:snapToGrid w:val="0"/>
              <w:spacing w:line="360" w:lineRule="auto"/>
              <w:ind w:left="318" w:hanging="318" w:hangingChars="132"/>
              <w:jc w:val="center"/>
              <w:outlineLvl w:val="9"/>
              <w:rPr>
                <w:rFonts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pPr>
              <w:snapToGrid w:val="0"/>
              <w:spacing w:line="360" w:lineRule="auto"/>
              <w:jc w:val="center"/>
              <w:rPr>
                <w:rFonts w:ascii="仿宋" w:hAnsi="仿宋" w:eastAsia="仿宋" w:cs="仿宋"/>
                <w:color w:val="auto"/>
                <w:sz w:val="24"/>
              </w:rPr>
            </w:pPr>
          </w:p>
        </w:tc>
        <w:tc>
          <w:tcPr>
            <w:tcW w:w="1601" w:type="dxa"/>
            <w:vAlign w:val="center"/>
          </w:tcPr>
          <w:p>
            <w:pPr>
              <w:snapToGrid w:val="0"/>
              <w:spacing w:line="360" w:lineRule="auto"/>
              <w:jc w:val="center"/>
              <w:rPr>
                <w:rFonts w:ascii="仿宋" w:hAnsi="仿宋" w:eastAsia="仿宋" w:cs="仿宋"/>
                <w:color w:val="auto"/>
                <w:sz w:val="24"/>
              </w:rPr>
            </w:pPr>
          </w:p>
        </w:tc>
        <w:tc>
          <w:tcPr>
            <w:tcW w:w="3407" w:type="dxa"/>
            <w:vAlign w:val="center"/>
          </w:tcPr>
          <w:p>
            <w:pPr>
              <w:snapToGrid w:val="0"/>
              <w:spacing w:line="360" w:lineRule="auto"/>
              <w:jc w:val="center"/>
              <w:rPr>
                <w:rFonts w:ascii="仿宋" w:hAnsi="仿宋" w:eastAsia="仿宋" w:cs="仿宋"/>
                <w:color w:val="auto"/>
                <w:sz w:val="24"/>
              </w:rPr>
            </w:pPr>
          </w:p>
        </w:tc>
        <w:tc>
          <w:tcPr>
            <w:tcW w:w="2557" w:type="dxa"/>
            <w:vAlign w:val="center"/>
          </w:tcPr>
          <w:p>
            <w:pPr>
              <w:snapToGrid w:val="0"/>
              <w:spacing w:line="360" w:lineRule="auto"/>
              <w:jc w:val="center"/>
              <w:rPr>
                <w:rFonts w:ascii="仿宋" w:hAnsi="仿宋" w:eastAsia="仿宋" w:cs="仿宋"/>
                <w:color w:val="auto"/>
                <w:sz w:val="24"/>
              </w:rPr>
            </w:pPr>
          </w:p>
        </w:tc>
        <w:tc>
          <w:tcPr>
            <w:tcW w:w="1267"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注：1.供应商须把谈判文件的第五章“</w:t>
      </w:r>
      <w:r>
        <w:rPr>
          <w:rFonts w:hint="eastAsia" w:ascii="仿宋" w:hAnsi="仿宋" w:eastAsia="仿宋" w:cs="仿宋"/>
          <w:b/>
          <w:bCs/>
          <w:color w:val="auto"/>
          <w:sz w:val="24"/>
        </w:rPr>
        <w:t>采购标的、服务内容及要求、</w:t>
      </w:r>
      <w:r>
        <w:rPr>
          <w:rFonts w:hint="eastAsia" w:ascii="仿宋" w:hAnsi="仿宋" w:eastAsia="仿宋" w:cs="仿宋"/>
          <w:b/>
          <w:color w:val="auto"/>
          <w:sz w:val="24"/>
        </w:rPr>
        <w:t>维护保养细则、维保配置与应急处理、运行管理巡查规范、考核办法、其他要求</w:t>
      </w:r>
      <w:r>
        <w:rPr>
          <w:rFonts w:hint="eastAsia" w:ascii="仿宋" w:hAnsi="仿宋" w:eastAsia="仿宋" w:cs="仿宋"/>
          <w:bCs/>
          <w:color w:val="auto"/>
          <w:sz w:val="24"/>
        </w:rPr>
        <w:t>”全部事项列入此表。</w:t>
      </w:r>
    </w:p>
    <w:p>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2.按照谈判文件服务要求的顺序对应填写。</w:t>
      </w:r>
    </w:p>
    <w:p>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3.供应商必须据实填写，不得虚假填写，否则将取消其谈判或成交资格。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Style w:val="118"/>
          <w:rFonts w:ascii="仿宋" w:hAnsi="仿宋" w:cs="仿宋"/>
          <w:color w:val="auto"/>
        </w:rPr>
      </w:pPr>
      <w:r>
        <w:rPr>
          <w:rStyle w:val="118"/>
          <w:rFonts w:ascii="仿宋" w:hAnsi="仿宋" w:cs="仿宋"/>
          <w:color w:val="auto"/>
        </w:rPr>
        <w:br w:type="page"/>
      </w:r>
    </w:p>
    <w:p>
      <w:pPr>
        <w:pStyle w:val="7"/>
        <w:rPr>
          <w:rFonts w:ascii="仿宋" w:hAnsi="仿宋" w:eastAsia="仿宋" w:cs="仿宋"/>
          <w:color w:val="auto"/>
        </w:rPr>
      </w:pPr>
      <w:bookmarkStart w:id="75" w:name="_Toc11475"/>
      <w:bookmarkStart w:id="76" w:name="_Toc32720"/>
      <w:bookmarkStart w:id="77" w:name="_Toc2644"/>
      <w:bookmarkStart w:id="78" w:name="_Toc10055"/>
      <w:bookmarkStart w:id="79" w:name="_Toc13871"/>
      <w:bookmarkStart w:id="80" w:name="_Toc14958"/>
      <w:bookmarkStart w:id="81" w:name="_Toc5274"/>
      <w:bookmarkStart w:id="82" w:name="_Toc9203"/>
      <w:bookmarkStart w:id="83" w:name="_Toc28456"/>
      <w:bookmarkStart w:id="84" w:name="_Toc29373"/>
      <w:bookmarkStart w:id="85" w:name="_Toc16062"/>
      <w:r>
        <w:rPr>
          <w:rStyle w:val="118"/>
          <w:rFonts w:ascii="仿宋" w:hAnsi="仿宋" w:cs="仿宋"/>
          <w:b/>
          <w:color w:val="auto"/>
          <w:szCs w:val="24"/>
        </w:rPr>
        <w:t>格式</w:t>
      </w:r>
      <w:bookmarkEnd w:id="75"/>
      <w:r>
        <w:rPr>
          <w:rStyle w:val="118"/>
          <w:rFonts w:hint="eastAsia" w:ascii="仿宋" w:hAnsi="仿宋" w:cs="仿宋"/>
          <w:b/>
          <w:color w:val="auto"/>
          <w:szCs w:val="24"/>
        </w:rPr>
        <w:t>2-3</w:t>
      </w:r>
      <w:r>
        <w:rPr>
          <w:rFonts w:hint="eastAsia" w:ascii="仿宋" w:hAnsi="仿宋" w:cs="仿宋"/>
          <w:color w:val="auto"/>
          <w:sz w:val="24"/>
          <w:szCs w:val="24"/>
        </w:rPr>
        <w:t>:</w:t>
      </w:r>
      <w:bookmarkEnd w:id="76"/>
      <w:bookmarkEnd w:id="77"/>
      <w:bookmarkEnd w:id="78"/>
      <w:bookmarkEnd w:id="79"/>
      <w:bookmarkEnd w:id="80"/>
      <w:bookmarkEnd w:id="81"/>
      <w:bookmarkEnd w:id="82"/>
      <w:bookmarkEnd w:id="83"/>
      <w:bookmarkEnd w:id="84"/>
      <w:bookmarkEnd w:id="85"/>
      <w:r>
        <w:rPr>
          <w:rFonts w:hint="eastAsia" w:ascii="仿宋" w:hAnsi="仿宋" w:eastAsia="仿宋" w:cs="仿宋"/>
          <w:color w:val="auto"/>
          <w:spacing w:val="-2"/>
          <w:sz w:val="24"/>
          <w:szCs w:val="24"/>
        </w:rPr>
        <w:t>商务服务应答表</w:t>
      </w:r>
    </w:p>
    <w:p>
      <w:pPr>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商务服务应答表</w:t>
      </w:r>
    </w:p>
    <w:p>
      <w:pPr>
        <w:pStyle w:val="2"/>
        <w:jc w:val="center"/>
        <w:rPr>
          <w:color w:val="auto"/>
        </w:rPr>
      </w:pPr>
    </w:p>
    <w:p>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pStyle w:val="22"/>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谈判文件的商务条款</w:t>
            </w:r>
          </w:p>
          <w:p>
            <w:pPr>
              <w:snapToGrid w:val="0"/>
              <w:jc w:val="center"/>
              <w:rPr>
                <w:rFonts w:ascii="仿宋" w:hAnsi="仿宋" w:eastAsia="仿宋" w:cs="仿宋"/>
                <w:color w:val="auto"/>
                <w:sz w:val="24"/>
              </w:rPr>
            </w:pPr>
            <w:r>
              <w:rPr>
                <w:rFonts w:hint="eastAsia" w:ascii="仿宋" w:hAnsi="仿宋" w:eastAsia="仿宋" w:cs="仿宋"/>
                <w:color w:val="auto"/>
                <w:sz w:val="24"/>
              </w:rPr>
              <w:t>（详见谈判文件第五章）</w:t>
            </w:r>
          </w:p>
        </w:tc>
        <w:tc>
          <w:tcPr>
            <w:tcW w:w="241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供应商对谈判文件的商务条款响应情况</w:t>
            </w:r>
          </w:p>
        </w:tc>
        <w:tc>
          <w:tcPr>
            <w:tcW w:w="1311" w:type="dxa"/>
            <w:vAlign w:val="center"/>
          </w:tcPr>
          <w:p>
            <w:pPr>
              <w:snapToGrid w:val="0"/>
              <w:jc w:val="center"/>
              <w:rPr>
                <w:rFonts w:ascii="仿宋" w:hAnsi="仿宋" w:eastAsia="仿宋" w:cs="仿宋"/>
                <w:color w:val="auto"/>
                <w:sz w:val="24"/>
              </w:rPr>
            </w:pPr>
            <w:r>
              <w:rPr>
                <w:rFonts w:hint="eastAsia" w:ascii="仿宋" w:hAnsi="仿宋" w:eastAsia="仿宋" w:cs="仿宋"/>
                <w:color w:val="auto"/>
                <w:sz w:val="24"/>
              </w:rPr>
              <w:t>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pPr>
              <w:keepNext w:val="0"/>
              <w:snapToGrid w:val="0"/>
              <w:spacing w:line="360" w:lineRule="auto"/>
              <w:ind w:left="318" w:hanging="318" w:hangingChars="132"/>
              <w:jc w:val="center"/>
              <w:outlineLvl w:val="9"/>
              <w:rPr>
                <w:rFonts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pPr>
              <w:snapToGrid w:val="0"/>
              <w:spacing w:line="360" w:lineRule="auto"/>
              <w:jc w:val="center"/>
              <w:rPr>
                <w:rFonts w:ascii="仿宋" w:hAnsi="仿宋" w:eastAsia="仿宋" w:cs="仿宋"/>
                <w:color w:val="auto"/>
                <w:sz w:val="24"/>
              </w:rPr>
            </w:pPr>
          </w:p>
        </w:tc>
        <w:tc>
          <w:tcPr>
            <w:tcW w:w="2115" w:type="dxa"/>
            <w:vAlign w:val="center"/>
          </w:tcPr>
          <w:p>
            <w:pPr>
              <w:snapToGrid w:val="0"/>
              <w:spacing w:line="360" w:lineRule="auto"/>
              <w:jc w:val="center"/>
              <w:rPr>
                <w:rFonts w:ascii="仿宋" w:hAnsi="仿宋" w:eastAsia="仿宋" w:cs="仿宋"/>
                <w:color w:val="auto"/>
                <w:sz w:val="24"/>
              </w:rPr>
            </w:pPr>
          </w:p>
        </w:tc>
        <w:tc>
          <w:tcPr>
            <w:tcW w:w="2881" w:type="dxa"/>
            <w:vAlign w:val="center"/>
          </w:tcPr>
          <w:p>
            <w:pPr>
              <w:snapToGrid w:val="0"/>
              <w:spacing w:line="360" w:lineRule="auto"/>
              <w:jc w:val="center"/>
              <w:rPr>
                <w:rFonts w:ascii="仿宋" w:hAnsi="仿宋" w:eastAsia="仿宋" w:cs="仿宋"/>
                <w:color w:val="auto"/>
                <w:sz w:val="24"/>
              </w:rPr>
            </w:pPr>
          </w:p>
        </w:tc>
        <w:tc>
          <w:tcPr>
            <w:tcW w:w="2411" w:type="dxa"/>
            <w:vAlign w:val="center"/>
          </w:tcPr>
          <w:p>
            <w:pPr>
              <w:snapToGrid w:val="0"/>
              <w:spacing w:line="360" w:lineRule="auto"/>
              <w:jc w:val="center"/>
              <w:rPr>
                <w:rFonts w:ascii="仿宋" w:hAnsi="仿宋" w:eastAsia="仿宋" w:cs="仿宋"/>
                <w:color w:val="auto"/>
                <w:sz w:val="24"/>
              </w:rPr>
            </w:pPr>
          </w:p>
        </w:tc>
        <w:tc>
          <w:tcPr>
            <w:tcW w:w="1311" w:type="dxa"/>
            <w:vAlign w:val="center"/>
          </w:tcPr>
          <w:p>
            <w:pPr>
              <w:snapToGrid w:val="0"/>
              <w:spacing w:line="360" w:lineRule="auto"/>
              <w:jc w:val="center"/>
              <w:rPr>
                <w:rFonts w:ascii="仿宋" w:hAnsi="仿宋" w:eastAsia="仿宋" w:cs="仿宋"/>
                <w:color w:val="auto"/>
                <w:sz w:val="24"/>
              </w:rPr>
            </w:pPr>
          </w:p>
        </w:tc>
      </w:tr>
    </w:tbl>
    <w:p>
      <w:pPr>
        <w:snapToGrid w:val="0"/>
        <w:spacing w:line="360" w:lineRule="auto"/>
        <w:ind w:left="480" w:hanging="480" w:hangingChars="200"/>
        <w:rPr>
          <w:rFonts w:ascii="仿宋" w:hAnsi="仿宋" w:eastAsia="仿宋" w:cs="仿宋"/>
          <w:bCs/>
          <w:color w:val="auto"/>
          <w:sz w:val="24"/>
        </w:rPr>
      </w:pPr>
    </w:p>
    <w:p>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注：1.供应商必须把谈判文件的第五章“</w:t>
      </w:r>
      <w:r>
        <w:rPr>
          <w:rFonts w:hint="eastAsia" w:ascii="仿宋" w:hAnsi="仿宋" w:eastAsia="仿宋" w:cs="仿宋"/>
          <w:b/>
          <w:bCs/>
          <w:color w:val="auto"/>
          <w:sz w:val="24"/>
        </w:rPr>
        <w:t>商务要求</w:t>
      </w:r>
      <w:r>
        <w:rPr>
          <w:rFonts w:hint="eastAsia" w:ascii="仿宋" w:hAnsi="仿宋" w:eastAsia="仿宋" w:cs="仿宋"/>
          <w:bCs/>
          <w:color w:val="auto"/>
          <w:sz w:val="24"/>
        </w:rPr>
        <w:t>”全部事项列入此表。</w:t>
      </w:r>
    </w:p>
    <w:p>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2.按照谈判文件商务要求的顺序对应填写。</w:t>
      </w:r>
    </w:p>
    <w:p>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3.供应商必须据实填写，不得虚假填写，否则将取消其谈判或成交资格。</w:t>
      </w:r>
    </w:p>
    <w:p>
      <w:pPr>
        <w:snapToGrid w:val="0"/>
        <w:spacing w:line="360" w:lineRule="auto"/>
        <w:ind w:firstLine="480" w:firstLineChars="200"/>
        <w:rPr>
          <w:rFonts w:ascii="仿宋" w:hAnsi="仿宋" w:eastAsia="仿宋" w:cs="仿宋"/>
          <w:bCs/>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Fonts w:ascii="仿宋" w:hAnsi="仿宋" w:eastAsia="仿宋" w:cs="仿宋"/>
          <w:b/>
          <w:bCs/>
          <w:color w:val="auto"/>
          <w:sz w:val="24"/>
        </w:rPr>
      </w:pPr>
      <w:r>
        <w:rPr>
          <w:rFonts w:hint="eastAsia" w:ascii="仿宋" w:hAnsi="仿宋" w:eastAsia="仿宋" w:cs="仿宋"/>
          <w:b/>
          <w:bCs/>
          <w:color w:val="auto"/>
          <w:sz w:val="24"/>
        </w:rPr>
        <w:br w:type="page"/>
      </w:r>
    </w:p>
    <w:p>
      <w:pPr>
        <w:pStyle w:val="7"/>
        <w:jc w:val="both"/>
        <w:rPr>
          <w:rFonts w:ascii="仿宋" w:hAnsi="仿宋" w:eastAsia="仿宋" w:cs="仿宋"/>
          <w:color w:val="auto"/>
          <w:sz w:val="36"/>
          <w:szCs w:val="36"/>
        </w:rPr>
      </w:pPr>
      <w:r>
        <w:rPr>
          <w:rFonts w:hint="eastAsia" w:ascii="仿宋" w:hAnsi="仿宋" w:eastAsia="仿宋" w:cs="仿宋"/>
          <w:color w:val="auto"/>
          <w:sz w:val="24"/>
          <w:szCs w:val="24"/>
        </w:rPr>
        <w:t>格式</w:t>
      </w:r>
      <w:r>
        <w:rPr>
          <w:rFonts w:hint="eastAsia" w:ascii="仿宋" w:hAnsi="仿宋" w:cs="仿宋"/>
          <w:color w:val="auto"/>
          <w:sz w:val="24"/>
          <w:szCs w:val="24"/>
        </w:rPr>
        <w:t>2-4:</w:t>
      </w:r>
      <w:r>
        <w:rPr>
          <w:rFonts w:hint="eastAsia" w:ascii="仿宋" w:hAnsi="仿宋" w:eastAsia="仿宋" w:cs="仿宋"/>
          <w:color w:val="auto"/>
          <w:spacing w:val="-2"/>
          <w:sz w:val="24"/>
          <w:szCs w:val="24"/>
        </w:rPr>
        <w:t>拟派入本项目的主要实施人员情况表</w:t>
      </w:r>
    </w:p>
    <w:p>
      <w:pPr>
        <w:jc w:val="center"/>
        <w:rPr>
          <w:rFonts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pPr>
        <w:pStyle w:val="2"/>
        <w:jc w:val="center"/>
        <w:rPr>
          <w:rFonts w:ascii="仿宋" w:hAnsi="仿宋" w:eastAsia="仿宋" w:cs="仿宋"/>
          <w:b/>
          <w:color w:val="auto"/>
          <w:sz w:val="36"/>
          <w:szCs w:val="36"/>
        </w:rPr>
      </w:pPr>
    </w:p>
    <w:p>
      <w:pPr>
        <w:jc w:val="center"/>
        <w:rPr>
          <w:color w:val="auto"/>
        </w:rPr>
      </w:pPr>
    </w:p>
    <w:tbl>
      <w:tblPr>
        <w:tblStyle w:val="26"/>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ign w:val="center"/>
          </w:tcPr>
          <w:p>
            <w:pPr>
              <w:ind w:firstLine="480" w:firstLineChars="200"/>
              <w:jc w:val="center"/>
              <w:rPr>
                <w:rFonts w:ascii="仿宋" w:hAnsi="仿宋" w:eastAsia="仿宋" w:cs="仿宋"/>
                <w:color w:val="auto"/>
                <w:sz w:val="24"/>
              </w:rPr>
            </w:pPr>
            <w:r>
              <w:rPr>
                <w:rFonts w:hint="eastAsia" w:ascii="仿宋" w:hAnsi="仿宋" w:eastAsia="仿宋" w:cs="仿宋"/>
                <w:color w:val="auto"/>
                <w:sz w:val="24"/>
              </w:rPr>
              <w:t>项目管理机构组成表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ign w:val="center"/>
          </w:tcPr>
          <w:p>
            <w:pPr>
              <w:jc w:val="center"/>
              <w:rPr>
                <w:rFonts w:ascii="仿宋" w:hAnsi="仿宋" w:eastAsia="仿宋" w:cs="仿宋"/>
                <w:color w:val="auto"/>
                <w:sz w:val="24"/>
              </w:rPr>
            </w:pPr>
            <w:r>
              <w:rPr>
                <w:rFonts w:hint="eastAsia" w:ascii="仿宋" w:hAnsi="仿宋" w:eastAsia="仿宋" w:cs="仿宋"/>
                <w:color w:val="auto"/>
                <w:sz w:val="24"/>
              </w:rPr>
              <w:t>职务</w:t>
            </w:r>
          </w:p>
        </w:tc>
        <w:tc>
          <w:tcPr>
            <w:tcW w:w="1053" w:type="dxa"/>
            <w:vMerge w:val="restart"/>
            <w:noWrap/>
            <w:vAlign w:val="center"/>
          </w:tcPr>
          <w:p>
            <w:pPr>
              <w:jc w:val="center"/>
              <w:rPr>
                <w:rFonts w:ascii="仿宋" w:hAnsi="仿宋" w:eastAsia="仿宋" w:cs="仿宋"/>
                <w:color w:val="auto"/>
                <w:sz w:val="24"/>
              </w:rPr>
            </w:pPr>
            <w:r>
              <w:rPr>
                <w:rFonts w:hint="eastAsia" w:ascii="仿宋" w:hAnsi="仿宋" w:eastAsia="仿宋" w:cs="仿宋"/>
                <w:color w:val="auto"/>
                <w:sz w:val="24"/>
              </w:rPr>
              <w:t>姓名</w:t>
            </w:r>
          </w:p>
        </w:tc>
        <w:tc>
          <w:tcPr>
            <w:tcW w:w="1155" w:type="dxa"/>
            <w:vMerge w:val="restart"/>
            <w:noWrap/>
            <w:vAlign w:val="center"/>
          </w:tcPr>
          <w:p>
            <w:pPr>
              <w:jc w:val="center"/>
              <w:rPr>
                <w:rFonts w:ascii="仿宋" w:hAnsi="仿宋" w:eastAsia="仿宋" w:cs="仿宋"/>
                <w:color w:val="auto"/>
                <w:sz w:val="24"/>
              </w:rPr>
            </w:pPr>
            <w:r>
              <w:rPr>
                <w:rFonts w:hint="eastAsia" w:ascii="仿宋" w:hAnsi="仿宋" w:eastAsia="仿宋" w:cs="仿宋"/>
                <w:color w:val="auto"/>
                <w:sz w:val="24"/>
              </w:rPr>
              <w:t>职称</w:t>
            </w:r>
          </w:p>
        </w:tc>
        <w:tc>
          <w:tcPr>
            <w:tcW w:w="5988" w:type="dxa"/>
            <w:gridSpan w:val="5"/>
            <w:noWrap/>
            <w:vAlign w:val="center"/>
          </w:tcPr>
          <w:p>
            <w:pPr>
              <w:jc w:val="center"/>
              <w:rPr>
                <w:rFonts w:ascii="仿宋" w:hAnsi="仿宋" w:eastAsia="仿宋" w:cs="仿宋"/>
                <w:color w:val="auto"/>
                <w:sz w:val="24"/>
              </w:rPr>
            </w:pPr>
            <w:r>
              <w:rPr>
                <w:rFonts w:hint="eastAsia" w:ascii="仿宋" w:hAnsi="仿宋" w:eastAsia="仿宋" w:cs="仿宋"/>
                <w:color w:val="auto"/>
                <w:sz w:val="24"/>
              </w:rPr>
              <w:t>执业或职业资格证明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ign w:val="center"/>
          </w:tcPr>
          <w:p>
            <w:pPr>
              <w:ind w:firstLine="480" w:firstLineChars="200"/>
              <w:jc w:val="center"/>
              <w:rPr>
                <w:rFonts w:ascii="仿宋" w:hAnsi="仿宋" w:eastAsia="仿宋" w:cs="仿宋"/>
                <w:color w:val="auto"/>
                <w:sz w:val="24"/>
              </w:rPr>
            </w:pPr>
          </w:p>
        </w:tc>
        <w:tc>
          <w:tcPr>
            <w:tcW w:w="1053" w:type="dxa"/>
            <w:vMerge w:val="continue"/>
            <w:noWrap/>
            <w:vAlign w:val="center"/>
          </w:tcPr>
          <w:p>
            <w:pPr>
              <w:ind w:firstLine="480" w:firstLineChars="200"/>
              <w:jc w:val="center"/>
              <w:rPr>
                <w:rFonts w:ascii="仿宋" w:hAnsi="仿宋" w:eastAsia="仿宋" w:cs="仿宋"/>
                <w:color w:val="auto"/>
                <w:sz w:val="24"/>
              </w:rPr>
            </w:pPr>
          </w:p>
        </w:tc>
        <w:tc>
          <w:tcPr>
            <w:tcW w:w="1155" w:type="dxa"/>
            <w:vMerge w:val="continue"/>
            <w:noWrap/>
            <w:vAlign w:val="center"/>
          </w:tcPr>
          <w:p>
            <w:pPr>
              <w:ind w:firstLine="480" w:firstLineChars="200"/>
              <w:jc w:val="center"/>
              <w:rPr>
                <w:rFonts w:ascii="仿宋" w:hAnsi="仿宋" w:eastAsia="仿宋" w:cs="仿宋"/>
                <w:color w:val="auto"/>
                <w:sz w:val="24"/>
              </w:rPr>
            </w:pPr>
          </w:p>
        </w:tc>
        <w:tc>
          <w:tcPr>
            <w:tcW w:w="1155"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证书名称</w:t>
            </w:r>
          </w:p>
        </w:tc>
        <w:tc>
          <w:tcPr>
            <w:tcW w:w="944"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级别</w:t>
            </w:r>
          </w:p>
        </w:tc>
        <w:tc>
          <w:tcPr>
            <w:tcW w:w="1684"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证号</w:t>
            </w:r>
          </w:p>
        </w:tc>
        <w:tc>
          <w:tcPr>
            <w:tcW w:w="1359"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专业</w:t>
            </w:r>
          </w:p>
        </w:tc>
        <w:tc>
          <w:tcPr>
            <w:tcW w:w="846"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ign w:val="center"/>
          </w:tcPr>
          <w:p>
            <w:pPr>
              <w:jc w:val="center"/>
              <w:rPr>
                <w:rFonts w:ascii="仿宋" w:hAnsi="仿宋" w:eastAsia="仿宋" w:cs="仿宋"/>
                <w:color w:val="auto"/>
                <w:sz w:val="24"/>
              </w:rPr>
            </w:pPr>
            <w:r>
              <w:rPr>
                <w:rFonts w:hint="eastAsia" w:ascii="仿宋" w:hAnsi="仿宋" w:eastAsia="仿宋" w:cs="仿宋"/>
                <w:color w:val="auto"/>
                <w:sz w:val="24"/>
              </w:rPr>
              <w:t>......</w:t>
            </w:r>
          </w:p>
        </w:tc>
        <w:tc>
          <w:tcPr>
            <w:tcW w:w="1053"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1155" w:type="dxa"/>
            <w:noWrap/>
            <w:vAlign w:val="center"/>
          </w:tcPr>
          <w:p>
            <w:pPr>
              <w:ind w:firstLine="480" w:firstLineChars="200"/>
              <w:jc w:val="center"/>
              <w:rPr>
                <w:rFonts w:ascii="仿宋" w:hAnsi="仿宋" w:eastAsia="仿宋" w:cs="仿宋"/>
                <w:color w:val="auto"/>
                <w:sz w:val="24"/>
              </w:rPr>
            </w:pPr>
          </w:p>
        </w:tc>
        <w:tc>
          <w:tcPr>
            <w:tcW w:w="944" w:type="dxa"/>
            <w:noWrap/>
            <w:vAlign w:val="center"/>
          </w:tcPr>
          <w:p>
            <w:pPr>
              <w:ind w:firstLine="480" w:firstLineChars="200"/>
              <w:jc w:val="center"/>
              <w:rPr>
                <w:rFonts w:ascii="仿宋" w:hAnsi="仿宋" w:eastAsia="仿宋" w:cs="仿宋"/>
                <w:color w:val="auto"/>
                <w:sz w:val="24"/>
              </w:rPr>
            </w:pPr>
          </w:p>
        </w:tc>
        <w:tc>
          <w:tcPr>
            <w:tcW w:w="1684" w:type="dxa"/>
            <w:noWrap/>
            <w:vAlign w:val="center"/>
          </w:tcPr>
          <w:p>
            <w:pPr>
              <w:ind w:firstLine="480" w:firstLineChars="200"/>
              <w:jc w:val="center"/>
              <w:rPr>
                <w:rFonts w:ascii="仿宋" w:hAnsi="仿宋" w:eastAsia="仿宋" w:cs="仿宋"/>
                <w:color w:val="auto"/>
                <w:sz w:val="24"/>
              </w:rPr>
            </w:pPr>
          </w:p>
        </w:tc>
        <w:tc>
          <w:tcPr>
            <w:tcW w:w="1359" w:type="dxa"/>
            <w:noWrap/>
            <w:vAlign w:val="center"/>
          </w:tcPr>
          <w:p>
            <w:pPr>
              <w:ind w:firstLine="480" w:firstLineChars="200"/>
              <w:jc w:val="center"/>
              <w:rPr>
                <w:rFonts w:ascii="仿宋" w:hAnsi="仿宋" w:eastAsia="仿宋" w:cs="仿宋"/>
                <w:color w:val="auto"/>
                <w:sz w:val="24"/>
              </w:rPr>
            </w:pPr>
          </w:p>
        </w:tc>
        <w:tc>
          <w:tcPr>
            <w:tcW w:w="846" w:type="dxa"/>
            <w:noWrap/>
            <w:vAlign w:val="center"/>
          </w:tcPr>
          <w:p>
            <w:pPr>
              <w:ind w:firstLine="480" w:firstLineChars="200"/>
              <w:jc w:val="center"/>
              <w:rPr>
                <w:rFonts w:ascii="仿宋" w:hAnsi="仿宋" w:eastAsia="仿宋" w:cs="仿宋"/>
                <w:color w:val="auto"/>
                <w:sz w:val="24"/>
              </w:rPr>
            </w:pPr>
          </w:p>
        </w:tc>
      </w:tr>
    </w:tbl>
    <w:p>
      <w:pPr>
        <w:snapToGrid w:val="0"/>
        <w:spacing w:line="360" w:lineRule="auto"/>
        <w:ind w:firstLine="480" w:firstLineChars="200"/>
        <w:rPr>
          <w:rFonts w:ascii="仿宋" w:hAnsi="仿宋" w:eastAsia="仿宋" w:cs="仿宋"/>
          <w:color w:val="auto"/>
          <w:sz w:val="24"/>
        </w:rPr>
      </w:pPr>
    </w:p>
    <w:p>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影印件附在表后。</w:t>
      </w:r>
    </w:p>
    <w:p>
      <w:pPr>
        <w:snapToGrid w:val="0"/>
        <w:spacing w:line="360" w:lineRule="auto"/>
        <w:ind w:firstLine="480" w:firstLineChars="200"/>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bookmarkStart w:id="86" w:name="_Toc22168"/>
      <w:bookmarkStart w:id="87" w:name="_Toc7155"/>
      <w:bookmarkStart w:id="88" w:name="_Toc9098_WPSOffice_Level2"/>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pStyle w:val="25"/>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pPr>
        <w:rPr>
          <w:rFonts w:ascii="仿宋" w:hAnsi="仿宋" w:eastAsia="仿宋" w:cs="仿宋"/>
          <w:color w:val="auto"/>
        </w:rPr>
      </w:pPr>
      <w:r>
        <w:rPr>
          <w:rFonts w:hint="eastAsia" w:ascii="仿宋" w:hAnsi="仿宋" w:eastAsia="仿宋" w:cs="仿宋"/>
          <w:color w:val="auto"/>
        </w:rPr>
        <w:br w:type="page"/>
      </w:r>
    </w:p>
    <w:bookmarkEnd w:id="86"/>
    <w:bookmarkEnd w:id="87"/>
    <w:bookmarkEnd w:id="88"/>
    <w:p>
      <w:pPr>
        <w:outlineLvl w:val="2"/>
        <w:rPr>
          <w:rFonts w:ascii="仿宋" w:hAnsi="仿宋" w:eastAsia="仿宋" w:cs="仿宋"/>
          <w:b/>
          <w:bCs/>
          <w:color w:val="auto"/>
          <w:spacing w:val="-2"/>
          <w:kern w:val="0"/>
          <w:sz w:val="24"/>
        </w:rPr>
      </w:pPr>
      <w:bookmarkStart w:id="89" w:name="_Toc5095"/>
      <w:bookmarkStart w:id="90" w:name="_Toc18047"/>
      <w:bookmarkStart w:id="91" w:name="_Toc27414"/>
      <w:bookmarkStart w:id="92" w:name="_Toc10907_WPSOffice_Level2"/>
      <w:bookmarkStart w:id="93" w:name="_Toc226877196"/>
      <w:bookmarkStart w:id="94" w:name="_Toc22748"/>
      <w:bookmarkStart w:id="95" w:name="_Toc32510"/>
      <w:bookmarkStart w:id="96" w:name="_Toc32367"/>
      <w:bookmarkStart w:id="97" w:name="_Toc32408"/>
      <w:bookmarkStart w:id="98" w:name="_Toc1227"/>
      <w:bookmarkStart w:id="99" w:name="_Toc23168"/>
      <w:bookmarkStart w:id="100" w:name="_Toc12168"/>
      <w:bookmarkStart w:id="101" w:name="_Toc3253"/>
      <w:r>
        <w:rPr>
          <w:rFonts w:hint="eastAsia" w:ascii="仿宋" w:hAnsi="仿宋" w:eastAsia="仿宋" w:cs="仿宋"/>
          <w:b/>
          <w:bCs/>
          <w:color w:val="auto"/>
          <w:spacing w:val="-2"/>
          <w:kern w:val="0"/>
          <w:sz w:val="24"/>
        </w:rPr>
        <w:t>格式2-5</w:t>
      </w:r>
      <w:r>
        <w:rPr>
          <w:rFonts w:hint="eastAsia" w:ascii="仿宋" w:hAnsi="仿宋" w:cs="仿宋"/>
          <w:b/>
          <w:bCs/>
          <w:color w:val="auto"/>
          <w:sz w:val="24"/>
        </w:rPr>
        <w:t>:</w:t>
      </w:r>
      <w:r>
        <w:rPr>
          <w:rFonts w:hint="eastAsia" w:ascii="仿宋" w:hAnsi="仿宋" w:eastAsia="仿宋" w:cs="仿宋"/>
          <w:b/>
          <w:bCs/>
          <w:color w:val="auto"/>
          <w:spacing w:val="-2"/>
          <w:kern w:val="0"/>
          <w:sz w:val="24"/>
        </w:rPr>
        <w:t>项目实施方案</w:t>
      </w:r>
    </w:p>
    <w:p>
      <w:pPr>
        <w:snapToGrid w:val="0"/>
        <w:spacing w:line="360" w:lineRule="auto"/>
        <w:ind w:firstLine="474" w:firstLineChars="200"/>
        <w:rPr>
          <w:rFonts w:ascii="仿宋" w:hAnsi="仿宋" w:eastAsia="仿宋" w:cs="仿宋"/>
          <w:b/>
          <w:bCs/>
          <w:color w:val="auto"/>
          <w:spacing w:val="-2"/>
          <w:kern w:val="0"/>
          <w:sz w:val="24"/>
        </w:rPr>
      </w:pPr>
    </w:p>
    <w:p>
      <w:pPr>
        <w:jc w:val="center"/>
        <w:rPr>
          <w:rFonts w:ascii="仿宋" w:hAnsi="仿宋" w:eastAsia="仿宋" w:cs="仿宋"/>
          <w:color w:val="auto"/>
          <w:spacing w:val="-2"/>
          <w:sz w:val="36"/>
          <w:szCs w:val="36"/>
        </w:rPr>
      </w:pPr>
      <w:r>
        <w:rPr>
          <w:rFonts w:hint="eastAsia" w:ascii="仿宋" w:hAnsi="仿宋" w:eastAsia="仿宋" w:cs="仿宋"/>
          <w:b/>
          <w:bCs/>
          <w:color w:val="auto"/>
          <w:sz w:val="36"/>
          <w:szCs w:val="36"/>
        </w:rPr>
        <w:t>项目实施方案</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jc w:val="center"/>
        <w:rPr>
          <w:rFonts w:ascii="仿宋" w:hAnsi="仿宋" w:eastAsia="仿宋" w:cs="仿宋"/>
          <w:color w:val="auto"/>
          <w:sz w:val="24"/>
        </w:rPr>
      </w:pP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日    期:</w:t>
      </w:r>
    </w:p>
    <w:p>
      <w:pPr>
        <w:rPr>
          <w:rFonts w:ascii="仿宋" w:hAnsi="仿宋" w:eastAsia="仿宋" w:cs="仿宋"/>
          <w:bCs/>
          <w:color w:val="auto"/>
        </w:rPr>
      </w:pPr>
      <w:r>
        <w:rPr>
          <w:rFonts w:hint="eastAsia" w:ascii="仿宋" w:hAnsi="仿宋" w:eastAsia="仿宋" w:cs="仿宋"/>
          <w:bCs/>
          <w:color w:val="auto"/>
        </w:rPr>
        <w:br w:type="page"/>
      </w:r>
    </w:p>
    <w:bookmarkEnd w:id="89"/>
    <w:bookmarkEnd w:id="90"/>
    <w:bookmarkEnd w:id="91"/>
    <w:bookmarkEnd w:id="92"/>
    <w:bookmarkEnd w:id="93"/>
    <w:bookmarkEnd w:id="94"/>
    <w:bookmarkEnd w:id="95"/>
    <w:bookmarkEnd w:id="96"/>
    <w:bookmarkEnd w:id="97"/>
    <w:bookmarkEnd w:id="98"/>
    <w:bookmarkEnd w:id="99"/>
    <w:bookmarkEnd w:id="100"/>
    <w:bookmarkEnd w:id="101"/>
    <w:p>
      <w:pPr>
        <w:pStyle w:val="2"/>
        <w:spacing w:line="480" w:lineRule="auto"/>
        <w:outlineLvl w:val="2"/>
        <w:rPr>
          <w:rFonts w:ascii="仿宋" w:hAnsi="仿宋" w:eastAsia="仿宋" w:cs="仿宋"/>
          <w:b/>
          <w:color w:val="auto"/>
          <w:sz w:val="36"/>
          <w:szCs w:val="36"/>
        </w:rPr>
      </w:pPr>
      <w:r>
        <w:rPr>
          <w:rFonts w:hint="eastAsia" w:ascii="仿宋" w:hAnsi="仿宋" w:eastAsia="仿宋" w:cs="仿宋"/>
          <w:b/>
          <w:color w:val="auto"/>
          <w:sz w:val="24"/>
        </w:rPr>
        <w:t>格式2-6</w:t>
      </w:r>
      <w:r>
        <w:rPr>
          <w:rFonts w:hint="eastAsia" w:ascii="仿宋" w:hAnsi="仿宋" w:cs="仿宋"/>
          <w:b/>
          <w:color w:val="auto"/>
          <w:sz w:val="24"/>
        </w:rPr>
        <w:t>:</w:t>
      </w:r>
      <w:r>
        <w:rPr>
          <w:rFonts w:hint="eastAsia" w:ascii="仿宋" w:hAnsi="仿宋" w:eastAsia="仿宋" w:cs="仿宋"/>
          <w:b/>
          <w:color w:val="auto"/>
          <w:spacing w:val="-2"/>
          <w:sz w:val="24"/>
        </w:rPr>
        <w:t>供应商基本情况表</w:t>
      </w:r>
      <w:bookmarkEnd w:id="72"/>
      <w:bookmarkEnd w:id="73"/>
      <w:bookmarkEnd w:id="74"/>
    </w:p>
    <w:p>
      <w:pPr>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pPr>
        <w:autoSpaceDE w:val="0"/>
        <w:autoSpaceDN w:val="0"/>
        <w:snapToGrid w:val="0"/>
        <w:spacing w:line="360" w:lineRule="auto"/>
        <w:jc w:val="center"/>
        <w:rPr>
          <w:rFonts w:ascii="仿宋" w:hAnsi="仿宋" w:eastAsia="仿宋" w:cs="仿宋"/>
          <w:color w:val="auto"/>
          <w:sz w:val="20"/>
        </w:rPr>
      </w:pPr>
    </w:p>
    <w:tbl>
      <w:tblPr>
        <w:tblStyle w:val="26"/>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pPr>
              <w:autoSpaceDE w:val="0"/>
              <w:autoSpaceDN w:val="0"/>
              <w:snapToGrid w:val="0"/>
              <w:jc w:val="center"/>
              <w:rPr>
                <w:rFonts w:ascii="仿宋" w:hAnsi="仿宋" w:eastAsia="仿宋" w:cs="仿宋"/>
                <w:color w:val="auto"/>
                <w:sz w:val="24"/>
              </w:rPr>
            </w:pPr>
          </w:p>
        </w:tc>
        <w:tc>
          <w:tcPr>
            <w:tcW w:w="1120"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pPr>
              <w:autoSpaceDE w:val="0"/>
              <w:autoSpaceDN w:val="0"/>
              <w:snapToGrid w:val="0"/>
              <w:jc w:val="center"/>
              <w:rPr>
                <w:rFonts w:ascii="仿宋" w:hAnsi="仿宋" w:eastAsia="仿宋" w:cs="仿宋"/>
                <w:color w:val="auto"/>
                <w:sz w:val="24"/>
              </w:rPr>
            </w:pPr>
          </w:p>
        </w:tc>
        <w:tc>
          <w:tcPr>
            <w:tcW w:w="155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pPr>
              <w:autoSpaceDE w:val="0"/>
              <w:autoSpaceDN w:val="0"/>
              <w:snapToGrid w:val="0"/>
              <w:jc w:val="center"/>
              <w:rPr>
                <w:rFonts w:ascii="仿宋" w:hAnsi="仿宋" w:eastAsia="仿宋" w:cs="仿宋"/>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pPr>
              <w:autoSpaceDE w:val="0"/>
              <w:autoSpaceDN w:val="0"/>
              <w:snapToGrid w:val="0"/>
              <w:jc w:val="center"/>
              <w:rPr>
                <w:rFonts w:ascii="仿宋" w:hAnsi="仿宋" w:eastAsia="仿宋" w:cs="仿宋"/>
                <w:color w:val="auto"/>
                <w:sz w:val="24"/>
              </w:rPr>
            </w:pPr>
          </w:p>
        </w:tc>
        <w:tc>
          <w:tcPr>
            <w:tcW w:w="1335"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pPr>
              <w:autoSpaceDE w:val="0"/>
              <w:autoSpaceDN w:val="0"/>
              <w:snapToGrid w:val="0"/>
              <w:jc w:val="center"/>
              <w:rPr>
                <w:rFonts w:ascii="仿宋" w:hAnsi="仿宋" w:eastAsia="仿宋" w:cs="仿宋"/>
                <w:color w:val="auto"/>
                <w:sz w:val="24"/>
              </w:rPr>
            </w:pPr>
          </w:p>
        </w:tc>
        <w:tc>
          <w:tcPr>
            <w:tcW w:w="1187" w:type="dxa"/>
            <w:gridSpan w:val="2"/>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5807" w:type="dxa"/>
            <w:gridSpan w:val="6"/>
            <w:vAlign w:val="center"/>
          </w:tcPr>
          <w:p>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restart"/>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pPr>
              <w:autoSpaceDE w:val="0"/>
              <w:autoSpaceDN w:val="0"/>
              <w:snapToGrid w:val="0"/>
              <w:jc w:val="center"/>
              <w:rPr>
                <w:rFonts w:ascii="仿宋" w:hAnsi="仿宋" w:eastAsia="仿宋" w:cs="仿宋"/>
                <w:color w:val="auto"/>
                <w:sz w:val="24"/>
              </w:rPr>
            </w:pPr>
          </w:p>
        </w:tc>
        <w:tc>
          <w:tcPr>
            <w:tcW w:w="952" w:type="dxa"/>
            <w:vMerge w:val="continue"/>
            <w:vAlign w:val="center"/>
          </w:tcPr>
          <w:p>
            <w:pPr>
              <w:autoSpaceDE w:val="0"/>
              <w:autoSpaceDN w:val="0"/>
              <w:snapToGrid w:val="0"/>
              <w:jc w:val="center"/>
              <w:rPr>
                <w:rFonts w:ascii="仿宋" w:hAnsi="仿宋" w:eastAsia="仿宋" w:cs="仿宋"/>
                <w:color w:val="auto"/>
                <w:sz w:val="24"/>
              </w:rPr>
            </w:pPr>
          </w:p>
        </w:tc>
        <w:tc>
          <w:tcPr>
            <w:tcW w:w="1996" w:type="dxa"/>
            <w:gridSpan w:val="3"/>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pPr>
              <w:autoSpaceDE w:val="0"/>
              <w:autoSpaceDN w:val="0"/>
              <w:snapToGrid w:val="0"/>
              <w:jc w:val="center"/>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pPr>
              <w:autoSpaceDE w:val="0"/>
              <w:autoSpaceDN w:val="0"/>
              <w:snapToGrid w:val="0"/>
              <w:rPr>
                <w:rFonts w:ascii="仿宋" w:hAnsi="仿宋" w:eastAsia="仿宋" w:cs="仿宋"/>
                <w:b/>
                <w:bCs/>
                <w:color w:val="auto"/>
                <w:sz w:val="24"/>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pPr>
              <w:autoSpaceDE w:val="0"/>
              <w:autoSpaceDN w:val="0"/>
              <w:snapToGrid w:val="0"/>
              <w:jc w:val="left"/>
              <w:rPr>
                <w:rFonts w:ascii="仿宋" w:hAnsi="仿宋" w:eastAsia="仿宋" w:cs="仿宋"/>
                <w:color w:val="auto"/>
                <w:sz w:val="24"/>
              </w:rPr>
            </w:pPr>
          </w:p>
        </w:tc>
      </w:tr>
    </w:tbl>
    <w:p>
      <w:pPr>
        <w:snapToGrid w:val="0"/>
        <w:spacing w:line="360" w:lineRule="auto"/>
        <w:rPr>
          <w:rFonts w:ascii="仿宋" w:hAnsi="仿宋" w:eastAsia="仿宋" w:cs="仿宋"/>
          <w:b/>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outlineLvl w:val="2"/>
        <w:rPr>
          <w:rFonts w:ascii="仿宋" w:hAnsi="仿宋" w:eastAsia="仿宋" w:cs="仿宋"/>
          <w:b/>
          <w:bCs/>
          <w:color w:val="auto"/>
          <w:sz w:val="24"/>
        </w:rPr>
      </w:pPr>
      <w:bookmarkStart w:id="102" w:name="_Toc17041"/>
      <w:bookmarkStart w:id="103" w:name="_Toc24697"/>
      <w:bookmarkStart w:id="104" w:name="_Toc16554"/>
      <w:bookmarkStart w:id="105" w:name="_Toc12453"/>
      <w:bookmarkStart w:id="106" w:name="_Toc959"/>
      <w:bookmarkStart w:id="107" w:name="_Toc4738"/>
      <w:bookmarkStart w:id="108" w:name="_Toc20691"/>
      <w:bookmarkStart w:id="109" w:name="_Toc32011"/>
      <w:bookmarkStart w:id="110" w:name="_Toc9892"/>
      <w:bookmarkStart w:id="111" w:name="_Toc29119"/>
      <w:bookmarkStart w:id="112" w:name="_Toc32072"/>
      <w:r>
        <w:rPr>
          <w:rStyle w:val="118"/>
          <w:rFonts w:hint="eastAsia" w:ascii="仿宋" w:hAnsi="仿宋" w:cs="仿宋"/>
          <w:color w:val="auto"/>
        </w:rPr>
        <w:br w:type="page"/>
      </w:r>
      <w:r>
        <w:rPr>
          <w:rFonts w:hint="eastAsia" w:ascii="仿宋" w:hAnsi="仿宋" w:eastAsia="仿宋" w:cs="仿宋"/>
          <w:b/>
          <w:bCs/>
          <w:color w:val="auto"/>
          <w:sz w:val="24"/>
        </w:rPr>
        <w:t>格式2-7</w:t>
      </w:r>
      <w:r>
        <w:rPr>
          <w:rFonts w:hint="eastAsia" w:ascii="仿宋" w:hAnsi="仿宋" w:cs="仿宋"/>
          <w:b/>
          <w:bCs/>
          <w:color w:val="auto"/>
          <w:sz w:val="24"/>
        </w:rPr>
        <w:t>:</w:t>
      </w:r>
      <w:r>
        <w:rPr>
          <w:rFonts w:hint="eastAsia" w:ascii="仿宋" w:hAnsi="仿宋" w:eastAsia="仿宋" w:cs="仿宋"/>
          <w:b/>
          <w:bCs/>
          <w:color w:val="auto"/>
          <w:sz w:val="24"/>
        </w:rPr>
        <w:t>首轮报价一览表</w:t>
      </w:r>
    </w:p>
    <w:p>
      <w:pPr>
        <w:widowControl/>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首轮报价一览表</w:t>
      </w:r>
    </w:p>
    <w:p>
      <w:pPr>
        <w:widowControl/>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tbl>
      <w:tblPr>
        <w:tblStyle w:val="26"/>
        <w:tblW w:w="9098" w:type="dxa"/>
        <w:tblInd w:w="-130" w:type="dxa"/>
        <w:tblLayout w:type="fixed"/>
        <w:tblCellMar>
          <w:top w:w="0" w:type="dxa"/>
          <w:left w:w="108" w:type="dxa"/>
          <w:bottom w:w="0" w:type="dxa"/>
          <w:right w:w="108" w:type="dxa"/>
        </w:tblCellMar>
      </w:tblPr>
      <w:tblGrid>
        <w:gridCol w:w="614"/>
        <w:gridCol w:w="1790"/>
        <w:gridCol w:w="2119"/>
        <w:gridCol w:w="1125"/>
        <w:gridCol w:w="762"/>
        <w:gridCol w:w="763"/>
        <w:gridCol w:w="987"/>
        <w:gridCol w:w="938"/>
      </w:tblGrid>
      <w:tr>
        <w:tblPrEx>
          <w:tblCellMar>
            <w:top w:w="0" w:type="dxa"/>
            <w:left w:w="108" w:type="dxa"/>
            <w:bottom w:w="0" w:type="dxa"/>
            <w:right w:w="108" w:type="dxa"/>
          </w:tblCellMar>
        </w:tblPrEx>
        <w:trPr>
          <w:trHeight w:val="567" w:hRule="atLeast"/>
        </w:trPr>
        <w:tc>
          <w:tcPr>
            <w:tcW w:w="4523"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项目名称：</w:t>
            </w:r>
          </w:p>
        </w:tc>
        <w:tc>
          <w:tcPr>
            <w:tcW w:w="4575" w:type="dxa"/>
            <w:gridSpan w:val="5"/>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项目编号：</w:t>
            </w:r>
          </w:p>
        </w:tc>
      </w:tr>
      <w:tr>
        <w:tblPrEx>
          <w:tblCellMar>
            <w:top w:w="0" w:type="dxa"/>
            <w:left w:w="108" w:type="dxa"/>
            <w:bottom w:w="0" w:type="dxa"/>
            <w:right w:w="108" w:type="dxa"/>
          </w:tblCellMar>
        </w:tblPrEx>
        <w:trPr>
          <w:trHeight w:val="567" w:hRule="atLeast"/>
        </w:trPr>
        <w:tc>
          <w:tcPr>
            <w:tcW w:w="909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报价轮次：首轮</w:t>
            </w:r>
          </w:p>
        </w:tc>
      </w:tr>
      <w:tr>
        <w:tblPrEx>
          <w:tblCellMar>
            <w:top w:w="0" w:type="dxa"/>
            <w:left w:w="108" w:type="dxa"/>
            <w:bottom w:w="0" w:type="dxa"/>
            <w:right w:w="108" w:type="dxa"/>
          </w:tblCellMar>
        </w:tblPrEx>
        <w:trPr>
          <w:trHeight w:val="567" w:hRule="atLeast"/>
        </w:trPr>
        <w:tc>
          <w:tcPr>
            <w:tcW w:w="6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序号</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维保项目</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型号</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单价限价（元）</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单位</w:t>
            </w:r>
          </w:p>
        </w:tc>
        <w:tc>
          <w:tcPr>
            <w:tcW w:w="763"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数量</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报价单价（元）</w:t>
            </w: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报价总价（元）</w:t>
            </w:r>
          </w:p>
        </w:tc>
      </w:tr>
      <w:tr>
        <w:tblPrEx>
          <w:tblCellMar>
            <w:top w:w="0" w:type="dxa"/>
            <w:left w:w="108" w:type="dxa"/>
            <w:bottom w:w="0" w:type="dxa"/>
            <w:right w:w="108" w:type="dxa"/>
          </w:tblCellMar>
        </w:tblPrEx>
        <w:trPr>
          <w:trHeight w:val="567" w:hRule="atLeast"/>
        </w:trPr>
        <w:tc>
          <w:tcPr>
            <w:tcW w:w="909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一、一期中央空调系统维保报价表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螺杆式冷水机组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LSBLG670HE/Nb</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4600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真空燃气热水锅炉</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ZRQ-60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2300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KQL100-200A</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420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热水泵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KQL80-200B</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冷却水泵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KQL125-125</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全程水处理器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SYS-200B1.6JZ/D-B</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分水器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集水器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压差控制阀</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DN150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贯流式空气幕</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L=900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38</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方形横流冷却塔</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SC-175H</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1900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12</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膨胀水箱</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1000X1000X1000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13</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螺杆式冷水机组自控制系统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1360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14</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4100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15</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风管管道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4200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16</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17</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热泵式热回收型溶液调湿机组</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HVF-12</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18</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末端盘管及控制系统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FPG-34</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59</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19</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FPG-51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134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20</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FPG-68</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88</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21</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FPG-102</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22</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FPG-136</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23</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FPG-170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89</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24</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GIII-60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90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25</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GIII-120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26</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GIII-150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27</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送风口</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498</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28</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370</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29</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新风口</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332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二、二期中央空调系统维保报价表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30</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变频离心式冷水机组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LSBLX600SVT</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7797</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31</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燃气式真空热水锅炉</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ZKW1.4</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5280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32</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L=399T/h  H=38mH</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33</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热水泵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L=138T/h  H=37.5mHo</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34</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冷却水泵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L=486T/h  H=34mH</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35</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全程水处理器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SYS-200B1.6JZ/D-B</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420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36</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分水器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210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37</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集水器</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210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38</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贯流式空气幕</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L=900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45</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39</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喷雾推进通风冷却塔</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XNPWT-1000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4500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40</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膨胀水箱</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1500*1500*1000</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600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41</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变频离心式冷水机组自控制系统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3200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42</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6400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43</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风管管道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6200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44</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2900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45</w:t>
            </w:r>
          </w:p>
        </w:tc>
        <w:tc>
          <w:tcPr>
            <w:tcW w:w="1790" w:type="dxa"/>
            <w:vMerge w:val="restart"/>
            <w:tcBorders>
              <w:top w:val="nil"/>
              <w:left w:val="nil"/>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洁净新风机组</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CYZ-08</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660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46</w:t>
            </w:r>
          </w:p>
        </w:tc>
        <w:tc>
          <w:tcPr>
            <w:tcW w:w="1790" w:type="dxa"/>
            <w:vMerge w:val="continue"/>
            <w:tcBorders>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CYZ-09</w:t>
            </w: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680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47</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卧式暗装风机盘管及控制系统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FP-34</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42</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48</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FP-51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43</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45</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49</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FP-68</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106</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50</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FP-85</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46</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59</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51</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FP-102</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47</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169</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52</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FP-136</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47</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220</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53</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FP-170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49</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54</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FP-204</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49</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33</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55</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FP-238</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51</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25</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56</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DGV1-80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57</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DGV1-90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135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58</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DGV1-100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59</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DGV1-120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60</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DGV1-150</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61</w:t>
            </w:r>
          </w:p>
        </w:tc>
        <w:tc>
          <w:tcPr>
            <w:tcW w:w="1790" w:type="dxa"/>
            <w:vMerge w:val="restart"/>
            <w:tcBorders>
              <w:top w:val="nil"/>
              <w:left w:val="nil"/>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送风口</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985</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62</w:t>
            </w:r>
          </w:p>
        </w:tc>
        <w:tc>
          <w:tcPr>
            <w:tcW w:w="1790" w:type="dxa"/>
            <w:vMerge w:val="continue"/>
            <w:tcBorders>
              <w:left w:val="nil"/>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687</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63</w:t>
            </w:r>
          </w:p>
        </w:tc>
        <w:tc>
          <w:tcPr>
            <w:tcW w:w="1790" w:type="dxa"/>
            <w:vMerge w:val="continue"/>
            <w:tcBorders>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新风口</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711</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三、放射科精密空调维保报价表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64</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风冷模块机组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1250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65</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空调循环水泵</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66</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67</w:t>
            </w:r>
          </w:p>
        </w:tc>
        <w:tc>
          <w:tcPr>
            <w:tcW w:w="1790"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1320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68</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室外机组自控制系统</w:t>
            </w:r>
          </w:p>
        </w:tc>
        <w:tc>
          <w:tcPr>
            <w:tcW w:w="2119"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69</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精密空调</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四、信息科精密空调维保报价表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70</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精密空调</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6530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五、手术室净化系统维护保养报价表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71</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72</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73</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18</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74</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75</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76</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77</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78</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79</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80</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81</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82</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情报面板</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83</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六、ICU净化系统维护保养报价表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84</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85</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86</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87</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88</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89</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90</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奥揽达</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91</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92</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93</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94</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95</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85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96</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七、PCR实验室净化系统维护保养报价表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制冷室外机组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1150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98</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排风净化机</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1250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99</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100</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2450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101</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102</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103</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104</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560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105</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106</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八、消毒供应室维护保养报价表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108</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109</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110</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265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111</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112</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113</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消毒机</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114</w:t>
            </w:r>
          </w:p>
        </w:tc>
        <w:tc>
          <w:tcPr>
            <w:tcW w:w="1790"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115</w:t>
            </w:r>
          </w:p>
        </w:tc>
        <w:tc>
          <w:tcPr>
            <w:tcW w:w="1790" w:type="dxa"/>
            <w:tcBorders>
              <w:top w:val="nil"/>
              <w:left w:val="nil"/>
              <w:bottom w:val="single" w:color="auto" w:sz="4"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风机盘管</w:t>
            </w:r>
          </w:p>
        </w:tc>
        <w:tc>
          <w:tcPr>
            <w:tcW w:w="2119" w:type="dxa"/>
            <w:tcBorders>
              <w:top w:val="nil"/>
              <w:left w:val="nil"/>
              <w:bottom w:val="single" w:color="auto" w:sz="4" w:space="0"/>
              <w:right w:val="single" w:color="000000" w:sz="8"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nil"/>
              <w:left w:val="nil"/>
              <w:bottom w:val="single" w:color="auto" w:sz="4" w:space="0"/>
              <w:right w:val="single" w:color="000000" w:sz="8"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auto" w:sz="4" w:space="0"/>
              <w:right w:val="single" w:color="000000" w:sz="8"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auto" w:sz="4" w:space="0"/>
              <w:right w:val="single" w:color="000000" w:sz="8"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auto" w:sz="4" w:space="0"/>
              <w:right w:val="single" w:color="000000" w:sz="8" w:space="0"/>
            </w:tcBorders>
            <w:shd w:val="clear" w:color="auto" w:fill="auto"/>
            <w:vAlign w:val="center"/>
          </w:tcPr>
          <w:p>
            <w:pPr>
              <w:widowControl/>
              <w:jc w:val="center"/>
              <w:rPr>
                <w:rFonts w:ascii="仿宋" w:hAnsi="仿宋" w:eastAsia="仿宋" w:cs="仿宋"/>
                <w:color w:val="auto"/>
                <w:sz w:val="24"/>
              </w:rPr>
            </w:pPr>
          </w:p>
        </w:tc>
        <w:tc>
          <w:tcPr>
            <w:tcW w:w="938" w:type="dxa"/>
            <w:tcBorders>
              <w:top w:val="nil"/>
              <w:left w:val="nil"/>
              <w:bottom w:val="single" w:color="auto" w:sz="4" w:space="0"/>
              <w:right w:val="single" w:color="000000" w:sz="8"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116</w:t>
            </w:r>
          </w:p>
        </w:tc>
        <w:tc>
          <w:tcPr>
            <w:tcW w:w="17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auto"/>
                <w:sz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2"/>
              <w:spacing w:line="360" w:lineRule="auto"/>
              <w:jc w:val="center"/>
              <w:rPr>
                <w:rFonts w:ascii="仿宋" w:hAnsi="仿宋" w:eastAsia="仿宋" w:cs="仿宋"/>
                <w:color w:val="auto"/>
                <w:sz w:val="24"/>
              </w:rPr>
            </w:pPr>
            <w:r>
              <w:rPr>
                <w:rFonts w:hint="eastAsia" w:ascii="仿宋" w:hAnsi="仿宋" w:eastAsia="仿宋" w:cs="仿宋"/>
                <w:color w:val="auto"/>
                <w:sz w:val="24"/>
              </w:rPr>
              <w:t>1150</w:t>
            </w:r>
          </w:p>
        </w:tc>
        <w:tc>
          <w:tcPr>
            <w:tcW w:w="76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auto"/>
                <w:sz w:val="24"/>
              </w:rPr>
            </w:pP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仿宋"/>
                <w:color w:val="auto"/>
                <w:sz w:val="24"/>
              </w:rPr>
            </w:pPr>
            <w:r>
              <w:rPr>
                <w:rFonts w:hint="eastAsia" w:ascii="仿宋" w:hAnsi="仿宋" w:eastAsia="仿宋" w:cs="仿宋"/>
                <w:color w:val="auto"/>
                <w:sz w:val="24"/>
              </w:rPr>
              <w:t>报价总价（小写金额）：</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元；下浮比例</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%（保留小数点后两位数）</w:t>
            </w: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default" w:ascii="仿宋" w:hAnsi="仿宋" w:eastAsia="仿宋" w:cs="仿宋"/>
                <w:color w:val="auto"/>
                <w:sz w:val="24"/>
                <w:lang w:val="en-US" w:eastAsia="zh-CN"/>
              </w:rPr>
            </w:pPr>
            <w:r>
              <w:rPr>
                <w:rFonts w:hint="eastAsia" w:ascii="仿宋" w:hAnsi="仿宋" w:eastAsia="仿宋" w:cs="仿宋"/>
                <w:color w:val="auto"/>
                <w:sz w:val="24"/>
              </w:rPr>
              <w:t>报价总价（大写金额）：</w:t>
            </w:r>
            <w:r>
              <w:rPr>
                <w:rFonts w:hint="eastAsia" w:ascii="仿宋" w:hAnsi="仿宋" w:eastAsia="仿宋" w:cs="仿宋"/>
                <w:color w:val="auto"/>
                <w:sz w:val="24"/>
                <w:u w:val="single"/>
                <w:lang w:val="en-US" w:eastAsia="zh-CN"/>
              </w:rPr>
              <w:t xml:space="preserve">                             </w:t>
            </w:r>
          </w:p>
        </w:tc>
      </w:tr>
    </w:tbl>
    <w:p>
      <w:pPr>
        <w:widowControl/>
        <w:spacing w:line="360" w:lineRule="auto"/>
        <w:jc w:val="center"/>
        <w:rPr>
          <w:rFonts w:ascii="仿宋" w:hAnsi="仿宋" w:eastAsia="仿宋" w:cs="仿宋"/>
          <w:color w:val="auto"/>
          <w:sz w:val="24"/>
        </w:rPr>
      </w:pPr>
    </w:p>
    <w:p>
      <w:pPr>
        <w:spacing w:line="360" w:lineRule="auto"/>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rFonts w:eastAsia="仿宋"/>
          <w:bCs/>
          <w:color w:val="auto"/>
        </w:rPr>
      </w:pPr>
      <w:r>
        <w:rPr>
          <w:rFonts w:hint="eastAsia" w:ascii="仿宋" w:hAnsi="仿宋" w:cs="仿宋"/>
          <w:bCs/>
          <w:color w:val="auto"/>
          <w:sz w:val="24"/>
        </w:rPr>
        <w:t>2</w:t>
      </w:r>
      <w:r>
        <w:rPr>
          <w:rFonts w:hint="eastAsia" w:ascii="仿宋" w:hAnsi="仿宋" w:eastAsia="仿宋" w:cs="仿宋"/>
          <w:bCs/>
          <w:color w:val="auto"/>
          <w:sz w:val="24"/>
        </w:rPr>
        <w:t>.特别注意：本表需填写完整并装订入其他响应文件中。</w:t>
      </w:r>
    </w:p>
    <w:p>
      <w:pPr>
        <w:pStyle w:val="116"/>
        <w:ind w:firstLine="480" w:firstLineChars="200"/>
        <w:rPr>
          <w:rFonts w:ascii="仿宋" w:hAnsi="仿宋" w:eastAsia="仿宋" w:cs="仿宋"/>
          <w:bCs/>
          <w:color w:val="auto"/>
          <w:sz w:val="24"/>
        </w:rPr>
      </w:pPr>
      <w:r>
        <w:rPr>
          <w:rFonts w:hint="eastAsia" w:ascii="仿宋" w:hAnsi="仿宋" w:eastAsia="仿宋" w:cs="仿宋"/>
          <w:bCs/>
          <w:color w:val="auto"/>
          <w:sz w:val="24"/>
        </w:rPr>
        <w:t>3.本项目报价需分项报价和总价报价按照同比例下浮报价，保留小数点后两位。</w:t>
      </w:r>
    </w:p>
    <w:p>
      <w:pPr>
        <w:snapToGrid w:val="0"/>
        <w:spacing w:line="360" w:lineRule="auto"/>
        <w:ind w:firstLine="480" w:firstLineChars="200"/>
        <w:jc w:val="left"/>
        <w:rPr>
          <w:rFonts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bookmarkStart w:id="113" w:name="_Toc4463"/>
      <w:bookmarkStart w:id="114" w:name="_Toc21989"/>
    </w:p>
    <w:p>
      <w:pPr>
        <w:rPr>
          <w:rFonts w:ascii="仿宋" w:hAnsi="仿宋" w:eastAsia="仿宋" w:cs="仿宋"/>
          <w:b/>
          <w:bCs/>
          <w:color w:val="auto"/>
          <w:sz w:val="24"/>
        </w:rPr>
      </w:pPr>
      <w:r>
        <w:rPr>
          <w:rFonts w:hint="eastAsia" w:ascii="仿宋" w:hAnsi="仿宋" w:eastAsia="仿宋" w:cs="仿宋"/>
          <w:b/>
          <w:bCs/>
          <w:color w:val="auto"/>
          <w:sz w:val="24"/>
        </w:rPr>
        <w:br w:type="page"/>
      </w:r>
    </w:p>
    <w:p>
      <w:pPr>
        <w:snapToGrid w:val="0"/>
        <w:spacing w:line="360" w:lineRule="auto"/>
        <w:jc w:val="left"/>
        <w:outlineLvl w:val="2"/>
        <w:rPr>
          <w:rFonts w:ascii="仿宋" w:hAnsi="仿宋" w:eastAsia="仿宋" w:cs="仿宋"/>
          <w:b/>
          <w:bCs/>
          <w:color w:val="auto"/>
          <w:sz w:val="36"/>
          <w:szCs w:val="36"/>
        </w:rPr>
      </w:pPr>
      <w:r>
        <w:rPr>
          <w:rFonts w:hint="eastAsia" w:ascii="仿宋" w:hAnsi="仿宋" w:eastAsia="仿宋" w:cs="仿宋"/>
          <w:b/>
          <w:bCs/>
          <w:color w:val="auto"/>
          <w:sz w:val="24"/>
        </w:rPr>
        <w:t>格式2-8</w:t>
      </w:r>
      <w:r>
        <w:rPr>
          <w:rFonts w:hint="eastAsia" w:ascii="仿宋" w:hAnsi="仿宋" w:cs="仿宋"/>
          <w:b/>
          <w:bCs/>
          <w:color w:val="auto"/>
          <w:sz w:val="24"/>
        </w:rPr>
        <w:t>:</w:t>
      </w:r>
      <w:r>
        <w:rPr>
          <w:rFonts w:hint="eastAsia" w:ascii="仿宋" w:hAnsi="仿宋" w:eastAsia="仿宋" w:cs="仿宋"/>
          <w:b/>
          <w:bCs/>
          <w:color w:val="auto"/>
          <w:sz w:val="24"/>
        </w:rPr>
        <w:t>承诺函</w:t>
      </w:r>
      <w:bookmarkEnd w:id="113"/>
      <w:bookmarkEnd w:id="114"/>
      <w:bookmarkStart w:id="115" w:name="_Toc6183_WPSOffice_Level2"/>
    </w:p>
    <w:p>
      <w:pPr>
        <w:pStyle w:val="19"/>
        <w:snapToGrid w:val="0"/>
        <w:spacing w:beforeLines="100" w:after="20" w:line="360" w:lineRule="auto"/>
        <w:ind w:left="0" w:leftChars="0" w:firstLine="181" w:firstLineChars="50"/>
        <w:jc w:val="center"/>
        <w:rPr>
          <w:rFonts w:ascii="仿宋" w:hAnsi="仿宋" w:eastAsia="仿宋" w:cs="仿宋"/>
          <w:b/>
          <w:bCs/>
          <w:color w:val="auto"/>
          <w:sz w:val="36"/>
          <w:szCs w:val="36"/>
        </w:rPr>
      </w:pPr>
      <w:bookmarkStart w:id="116" w:name="_Toc31555"/>
      <w:bookmarkStart w:id="117" w:name="_Toc9407"/>
      <w:r>
        <w:rPr>
          <w:rFonts w:hint="eastAsia" w:ascii="仿宋" w:hAnsi="仿宋" w:eastAsia="仿宋" w:cs="仿宋"/>
          <w:b/>
          <w:bCs/>
          <w:color w:val="auto"/>
          <w:sz w:val="36"/>
          <w:szCs w:val="36"/>
        </w:rPr>
        <w:t>承诺函</w:t>
      </w:r>
      <w:bookmarkEnd w:id="115"/>
      <w:bookmarkEnd w:id="116"/>
      <w:bookmarkEnd w:id="117"/>
    </w:p>
    <w:p>
      <w:pPr>
        <w:widowControl/>
        <w:spacing w:line="360" w:lineRule="auto"/>
        <w:jc w:val="center"/>
        <w:rPr>
          <w:rFonts w:ascii="仿宋" w:hAnsi="仿宋" w:eastAsia="仿宋" w:cs="仿宋"/>
          <w:bCs/>
          <w:color w:val="auto"/>
          <w:sz w:val="24"/>
        </w:rPr>
      </w:pPr>
      <w:r>
        <w:rPr>
          <w:rFonts w:hint="eastAsia" w:ascii="仿宋" w:hAnsi="仿宋" w:eastAsia="仿宋" w:cs="仿宋"/>
          <w:color w:val="auto"/>
          <w:sz w:val="24"/>
        </w:rPr>
        <w:t>（实质性要求）</w:t>
      </w:r>
    </w:p>
    <w:p>
      <w:pPr>
        <w:widowControl/>
        <w:spacing w:line="360" w:lineRule="auto"/>
        <w:jc w:val="left"/>
        <w:rPr>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pPr>
        <w:pStyle w:val="19"/>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pPr>
        <w:pStyle w:val="19"/>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二、我方愿意提交贵单位可能另外要求的，与报价有关的文件资料，并保证我方已提供和将要提供的文件资料是真实、准确的。</w:t>
      </w:r>
    </w:p>
    <w:p>
      <w:pPr>
        <w:pStyle w:val="19"/>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三、我方完全同意采购文件全部的实质性要求，并严格按照采购文件要求履行。</w:t>
      </w:r>
    </w:p>
    <w:p>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bCs/>
          <w:color w:val="auto"/>
          <w:sz w:val="24"/>
        </w:rPr>
        <w:t>四、</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五、国家或行业主管部门对供应商和采购产品的技术标准、质量标准和资格资质条件等有强制性规定的，我方承诺符合其要求。</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六、在评审中，当采购人代表、采购代理机构或评审小组需要我方及时对响应文件内容进行澄清答疑或需要我方派授权代表参加谈判时，若因我方原因未及时到场（未按采购人、采购代理机构、评审小组要求到场）澄清答疑、或谈判的，我方自愿接受评审小组做出的不利于我方的评审结果，绝不反悔。</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七、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我方承诺在响应有效期_____天内不撤销响应文件</w:t>
      </w:r>
    </w:p>
    <w:p>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九、如果我公司成交：</w:t>
      </w:r>
    </w:p>
    <w:p>
      <w:pPr>
        <w:widowControl/>
        <w:numPr>
          <w:ilvl w:val="255"/>
          <w:numId w:val="0"/>
        </w:numPr>
        <w:spacing w:line="360" w:lineRule="auto"/>
        <w:ind w:firstLine="480" w:firstLineChars="200"/>
        <w:rPr>
          <w:rFonts w:ascii="仿宋" w:hAnsi="仿宋" w:eastAsia="仿宋" w:cs="仿宋"/>
          <w:bCs/>
          <w:color w:val="auto"/>
          <w:sz w:val="24"/>
          <w:lang w:val="zh-CN"/>
        </w:rPr>
      </w:pPr>
      <w:r>
        <w:rPr>
          <w:rFonts w:hint="eastAsia" w:ascii="仿宋" w:hAnsi="仿宋" w:eastAsia="仿宋" w:cs="仿宋"/>
          <w:bCs/>
          <w:color w:val="auto"/>
          <w:sz w:val="24"/>
          <w:lang w:val="zh-CN"/>
        </w:rPr>
        <w:t>（</w:t>
      </w:r>
      <w:r>
        <w:rPr>
          <w:rFonts w:hint="eastAsia" w:ascii="仿宋" w:hAnsi="仿宋" w:eastAsia="仿宋" w:cs="仿宋"/>
          <w:bCs/>
          <w:color w:val="auto"/>
          <w:sz w:val="24"/>
        </w:rPr>
        <w:t>1</w:t>
      </w:r>
      <w:r>
        <w:rPr>
          <w:rFonts w:hint="eastAsia" w:ascii="仿宋" w:hAnsi="仿宋" w:eastAsia="仿宋" w:cs="仿宋"/>
          <w:bCs/>
          <w:color w:val="auto"/>
          <w:sz w:val="24"/>
          <w:lang w:val="zh-CN"/>
        </w:rPr>
        <w:t>）我方将严格按本项目采购文件约定的采购代理服务费收取标准、金额等要求如数足额向采购代理机构缴纳采购代理服务费。</w:t>
      </w:r>
    </w:p>
    <w:p>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（2）我方将严格按照采购文件确定的事项和我方响应文件内容签订合同并全面履行合同规定的责任和义务，保证按合同要求提供项目所列的质量、技术和服务内容。</w:t>
      </w:r>
    </w:p>
    <w:p>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（3）我方承诺在收到成交通知书后，在规定的期限内与采购人签订合同。</w:t>
      </w:r>
    </w:p>
    <w:p>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（4）我方承诺按照采购文件规定的金额和方式向采购人缴纳履约保证金。</w:t>
      </w:r>
    </w:p>
    <w:p>
      <w:pPr>
        <w:widowControl/>
        <w:numPr>
          <w:ilvl w:val="255"/>
          <w:numId w:val="0"/>
        </w:numPr>
        <w:spacing w:line="360" w:lineRule="auto"/>
        <w:ind w:left="420" w:leftChars="200"/>
        <w:rPr>
          <w:rFonts w:ascii="仿宋" w:hAnsi="仿宋" w:eastAsia="仿宋" w:cs="仿宋"/>
          <w:bCs/>
          <w:color w:val="auto"/>
          <w:sz w:val="24"/>
        </w:rPr>
      </w:pPr>
      <w:r>
        <w:rPr>
          <w:rFonts w:hint="eastAsia" w:ascii="仿宋" w:hAnsi="仿宋" w:eastAsia="仿宋" w:cs="仿宋"/>
          <w:bCs/>
          <w:color w:val="auto"/>
          <w:sz w:val="24"/>
          <w:lang w:val="zh-CN"/>
        </w:rPr>
        <w:t>十、</w:t>
      </w:r>
      <w:r>
        <w:rPr>
          <w:rFonts w:hint="eastAsia" w:ascii="仿宋" w:hAnsi="仿宋" w:eastAsia="仿宋" w:cs="仿宋"/>
          <w:bCs/>
          <w:color w:val="auto"/>
          <w:sz w:val="24"/>
        </w:rPr>
        <w:t>（其他补充说明；如果没有，填写“无”）。</w:t>
      </w:r>
    </w:p>
    <w:p>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pPr>
        <w:pStyle w:val="2"/>
        <w:spacing w:line="360" w:lineRule="auto"/>
        <w:rPr>
          <w:color w:val="auto"/>
        </w:rPr>
      </w:pPr>
    </w:p>
    <w:p>
      <w:pPr>
        <w:spacing w:line="360" w:lineRule="auto"/>
        <w:ind w:firstLine="480" w:firstLineChars="200"/>
        <w:rPr>
          <w:rFonts w:ascii="仿宋" w:hAnsi="仿宋" w:eastAsia="仿宋" w:cs="仿宋"/>
          <w:bCs/>
          <w:color w:val="auto"/>
          <w:sz w:val="24"/>
        </w:rPr>
      </w:pPr>
    </w:p>
    <w:p>
      <w:pPr>
        <w:spacing w:line="360" w:lineRule="auto"/>
        <w:ind w:firstLine="480" w:firstLineChars="200"/>
        <w:rPr>
          <w:rFonts w:ascii="仿宋" w:hAnsi="仿宋" w:eastAsia="仿宋" w:cs="仿宋"/>
          <w:bCs/>
          <w:color w:val="auto"/>
          <w:sz w:val="24"/>
        </w:rPr>
      </w:pP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日    期：</w:t>
      </w:r>
    </w:p>
    <w:p>
      <w:pPr>
        <w:rPr>
          <w:rStyle w:val="118"/>
          <w:rFonts w:ascii="仿宋" w:hAnsi="仿宋" w:cs="仿宋"/>
          <w:color w:val="auto"/>
        </w:rPr>
      </w:pPr>
      <w:r>
        <w:rPr>
          <w:rStyle w:val="118"/>
          <w:rFonts w:hint="eastAsia" w:ascii="仿宋" w:hAnsi="仿宋" w:cs="仿宋"/>
          <w:color w:val="auto"/>
        </w:rPr>
        <w:br w:type="page"/>
      </w:r>
    </w:p>
    <w:bookmarkEnd w:id="102"/>
    <w:bookmarkEnd w:id="103"/>
    <w:bookmarkEnd w:id="104"/>
    <w:bookmarkEnd w:id="105"/>
    <w:bookmarkEnd w:id="106"/>
    <w:bookmarkEnd w:id="107"/>
    <w:bookmarkEnd w:id="108"/>
    <w:bookmarkEnd w:id="109"/>
    <w:bookmarkEnd w:id="110"/>
    <w:bookmarkEnd w:id="111"/>
    <w:bookmarkEnd w:id="112"/>
    <w:p>
      <w:pPr>
        <w:numPr>
          <w:ilvl w:val="0"/>
          <w:numId w:val="2"/>
        </w:num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“报价响应文件”格式</w:t>
      </w:r>
    </w:p>
    <w:p>
      <w:pPr>
        <w:pStyle w:val="2"/>
        <w:rPr>
          <w:color w:val="auto"/>
        </w:rPr>
      </w:pPr>
    </w:p>
    <w:p>
      <w:pPr>
        <w:tabs>
          <w:tab w:val="left" w:leader="dot" w:pos="7380"/>
        </w:tabs>
        <w:snapToGrid w:val="0"/>
        <w:spacing w:line="324" w:lineRule="auto"/>
        <w:outlineLvl w:val="2"/>
        <w:rPr>
          <w:rFonts w:ascii="仿宋" w:hAnsi="仿宋" w:eastAsia="仿宋" w:cs="仿宋"/>
          <w:b/>
          <w:bCs/>
          <w:color w:val="auto"/>
          <w:sz w:val="24"/>
        </w:rPr>
      </w:pPr>
      <w:r>
        <w:rPr>
          <w:rFonts w:hint="eastAsia" w:ascii="仿宋" w:hAnsi="仿宋" w:eastAsia="仿宋" w:cs="仿宋"/>
          <w:b/>
          <w:bCs/>
          <w:color w:val="auto"/>
          <w:kern w:val="0"/>
          <w:sz w:val="24"/>
        </w:rPr>
        <w:t>格式3-1</w:t>
      </w:r>
      <w:r>
        <w:rPr>
          <w:rFonts w:hint="eastAsia" w:ascii="仿宋" w:hAnsi="仿宋" w:cs="仿宋"/>
          <w:b/>
          <w:bCs/>
          <w:color w:val="auto"/>
          <w:sz w:val="24"/>
        </w:rPr>
        <w:t>:</w:t>
      </w:r>
      <w:r>
        <w:rPr>
          <w:rFonts w:hint="eastAsia" w:ascii="仿宋" w:hAnsi="仿宋" w:eastAsia="仿宋" w:cs="仿宋"/>
          <w:b/>
          <w:bCs/>
          <w:color w:val="auto"/>
          <w:sz w:val="24"/>
        </w:rPr>
        <w:t>报价响应文件封面</w:t>
      </w:r>
    </w:p>
    <w:p>
      <w:pPr>
        <w:tabs>
          <w:tab w:val="left" w:leader="dot" w:pos="7380"/>
        </w:tabs>
        <w:snapToGrid w:val="0"/>
        <w:spacing w:line="324" w:lineRule="auto"/>
        <w:jc w:val="left"/>
        <w:rPr>
          <w:rFonts w:ascii="仿宋" w:hAnsi="仿宋" w:eastAsia="仿宋" w:cs="仿宋"/>
          <w:b/>
          <w:bCs/>
          <w:color w:val="auto"/>
          <w:sz w:val="32"/>
          <w:szCs w:val="32"/>
        </w:rPr>
      </w:pPr>
    </w:p>
    <w:p>
      <w:pPr>
        <w:pStyle w:val="2"/>
        <w:rPr>
          <w:color w:val="auto"/>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报价响应文件</w:t>
      </w:r>
    </w:p>
    <w:p>
      <w:pPr>
        <w:tabs>
          <w:tab w:val="left" w:leader="dot" w:pos="7380"/>
        </w:tabs>
        <w:snapToGrid w:val="0"/>
        <w:spacing w:line="324" w:lineRule="auto"/>
        <w:jc w:val="center"/>
        <w:rPr>
          <w:rFonts w:ascii="仿宋" w:hAnsi="仿宋" w:eastAsia="仿宋" w:cs="仿宋"/>
          <w:b/>
          <w:bCs/>
          <w:color w:val="auto"/>
          <w:sz w:val="32"/>
          <w:szCs w:val="32"/>
        </w:rPr>
      </w:pPr>
    </w:p>
    <w:p>
      <w:pPr>
        <w:tabs>
          <w:tab w:val="left" w:pos="4005"/>
          <w:tab w:val="left" w:leader="dot" w:pos="7380"/>
        </w:tabs>
        <w:snapToGrid w:val="0"/>
        <w:spacing w:line="324"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pos="4005"/>
          <w:tab w:val="left" w:leader="dot" w:pos="7380"/>
        </w:tabs>
        <w:snapToGrid w:val="0"/>
        <w:spacing w:line="360" w:lineRule="auto"/>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spacing w:line="360" w:lineRule="atLeast"/>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日期：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日</w:t>
      </w:r>
    </w:p>
    <w:p>
      <w:pPr>
        <w:pStyle w:val="2"/>
        <w:rPr>
          <w:rFonts w:ascii="仿宋" w:hAnsi="仿宋" w:eastAsia="仿宋" w:cs="仿宋"/>
          <w:b/>
          <w:color w:val="auto"/>
          <w:sz w:val="32"/>
          <w:szCs w:val="32"/>
        </w:rPr>
      </w:pPr>
    </w:p>
    <w:p>
      <w:pPr>
        <w:widowControl/>
        <w:spacing w:line="360" w:lineRule="atLeast"/>
        <w:rPr>
          <w:rFonts w:ascii="宋体" w:hAnsi="宋体" w:cs="宋体"/>
          <w:b/>
          <w:bCs/>
          <w:color w:val="auto"/>
          <w:sz w:val="32"/>
          <w:szCs w:val="32"/>
        </w:rPr>
      </w:pPr>
    </w:p>
    <w:p>
      <w:pPr>
        <w:pStyle w:val="2"/>
        <w:rPr>
          <w:color w:val="auto"/>
        </w:rPr>
      </w:pPr>
    </w:p>
    <w:p>
      <w:pPr>
        <w:pStyle w:val="10"/>
        <w:rPr>
          <w:color w:val="auto"/>
        </w:rPr>
      </w:pPr>
    </w:p>
    <w:p>
      <w:pPr>
        <w:rPr>
          <w:color w:val="auto"/>
        </w:rPr>
      </w:pPr>
    </w:p>
    <w:p>
      <w:pPr>
        <w:pStyle w:val="2"/>
        <w:rPr>
          <w:color w:val="auto"/>
        </w:rPr>
      </w:pPr>
    </w:p>
    <w:p>
      <w:pPr>
        <w:pStyle w:val="2"/>
        <w:rPr>
          <w:color w:val="auto"/>
        </w:rPr>
      </w:pPr>
    </w:p>
    <w:p>
      <w:pPr>
        <w:rPr>
          <w:color w:val="auto"/>
        </w:rPr>
      </w:pPr>
    </w:p>
    <w:p>
      <w:pPr>
        <w:jc w:val="left"/>
        <w:rPr>
          <w:rFonts w:ascii="仿宋" w:hAnsi="仿宋" w:eastAsia="仿宋" w:cs="仿宋"/>
          <w:b/>
          <w:bCs/>
          <w:color w:val="auto"/>
          <w:sz w:val="24"/>
        </w:rPr>
      </w:pPr>
      <w:bookmarkStart w:id="118" w:name="_Toc14228"/>
      <w:bookmarkStart w:id="119" w:name="_Toc30261"/>
      <w:r>
        <w:rPr>
          <w:rFonts w:hint="eastAsia" w:ascii="仿宋" w:hAnsi="仿宋" w:eastAsia="仿宋" w:cs="仿宋"/>
          <w:b/>
          <w:bCs/>
          <w:color w:val="auto"/>
          <w:sz w:val="24"/>
        </w:rPr>
        <w:br w:type="page"/>
      </w:r>
    </w:p>
    <w:p>
      <w:pPr>
        <w:snapToGrid w:val="0"/>
        <w:spacing w:line="360" w:lineRule="auto"/>
        <w:outlineLvl w:val="2"/>
        <w:rPr>
          <w:rFonts w:ascii="仿宋" w:hAnsi="仿宋" w:eastAsia="仿宋" w:cs="仿宋"/>
          <w:b/>
          <w:bCs/>
          <w:color w:val="auto"/>
          <w:sz w:val="24"/>
        </w:rPr>
      </w:pPr>
      <w:r>
        <w:rPr>
          <w:rFonts w:hint="eastAsia" w:ascii="仿宋" w:hAnsi="仿宋" w:eastAsia="仿宋" w:cs="仿宋"/>
          <w:b/>
          <w:bCs/>
          <w:color w:val="auto"/>
          <w:sz w:val="24"/>
        </w:rPr>
        <w:t>格式3-2</w:t>
      </w:r>
      <w:r>
        <w:rPr>
          <w:rFonts w:hint="eastAsia" w:ascii="仿宋" w:hAnsi="仿宋" w:cs="仿宋"/>
          <w:b/>
          <w:bCs/>
          <w:color w:val="auto"/>
          <w:sz w:val="24"/>
        </w:rPr>
        <w:t>:</w:t>
      </w:r>
      <w:r>
        <w:rPr>
          <w:rFonts w:hint="eastAsia" w:ascii="仿宋" w:hAnsi="仿宋" w:eastAsia="仿宋" w:cs="仿宋"/>
          <w:b/>
          <w:bCs/>
          <w:color w:val="auto"/>
          <w:sz w:val="24"/>
        </w:rPr>
        <w:t>多轮报价一览表</w:t>
      </w:r>
    </w:p>
    <w:p>
      <w:pPr>
        <w:snapToGrid w:val="0"/>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z w:val="36"/>
          <w:szCs w:val="36"/>
        </w:rPr>
        <w:t>多轮报价一览表</w:t>
      </w:r>
    </w:p>
    <w:p>
      <w:pPr>
        <w:widowControl/>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tbl>
      <w:tblPr>
        <w:tblStyle w:val="26"/>
        <w:tblW w:w="9098" w:type="dxa"/>
        <w:tblInd w:w="-130" w:type="dxa"/>
        <w:tblLayout w:type="fixed"/>
        <w:tblCellMar>
          <w:top w:w="0" w:type="dxa"/>
          <w:left w:w="108" w:type="dxa"/>
          <w:bottom w:w="0" w:type="dxa"/>
          <w:right w:w="108" w:type="dxa"/>
        </w:tblCellMar>
      </w:tblPr>
      <w:tblGrid>
        <w:gridCol w:w="614"/>
        <w:gridCol w:w="1790"/>
        <w:gridCol w:w="2119"/>
        <w:gridCol w:w="1125"/>
        <w:gridCol w:w="762"/>
        <w:gridCol w:w="763"/>
        <w:gridCol w:w="987"/>
        <w:gridCol w:w="938"/>
      </w:tblGrid>
      <w:tr>
        <w:tblPrEx>
          <w:tblCellMar>
            <w:top w:w="0" w:type="dxa"/>
            <w:left w:w="108" w:type="dxa"/>
            <w:bottom w:w="0" w:type="dxa"/>
            <w:right w:w="108" w:type="dxa"/>
          </w:tblCellMar>
        </w:tblPrEx>
        <w:trPr>
          <w:trHeight w:val="567" w:hRule="atLeast"/>
        </w:trPr>
        <w:tc>
          <w:tcPr>
            <w:tcW w:w="4523"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ascii="仿宋" w:hAnsi="仿宋" w:eastAsia="仿宋" w:cs="仿宋"/>
                <w:color w:val="auto"/>
                <w:sz w:val="24"/>
              </w:rPr>
            </w:pPr>
            <w:r>
              <w:rPr>
                <w:rFonts w:hint="eastAsia" w:ascii="仿宋" w:hAnsi="仿宋" w:eastAsia="仿宋" w:cs="仿宋"/>
                <w:color w:val="auto"/>
                <w:sz w:val="24"/>
              </w:rPr>
              <w:t>项目名称：</w:t>
            </w:r>
          </w:p>
        </w:tc>
        <w:tc>
          <w:tcPr>
            <w:tcW w:w="4575" w:type="dxa"/>
            <w:gridSpan w:val="5"/>
            <w:tcBorders>
              <w:top w:val="single" w:color="000000" w:sz="8" w:space="0"/>
              <w:left w:val="nil"/>
              <w:bottom w:val="single" w:color="000000" w:sz="8" w:space="0"/>
              <w:right w:val="single" w:color="000000" w:sz="8" w:space="0"/>
            </w:tcBorders>
            <w:shd w:val="clear" w:color="auto" w:fill="auto"/>
            <w:noWrap/>
            <w:vAlign w:val="center"/>
          </w:tcPr>
          <w:p>
            <w:pPr>
              <w:rPr>
                <w:rFonts w:ascii="仿宋" w:hAnsi="仿宋" w:eastAsia="仿宋" w:cs="仿宋"/>
                <w:color w:val="auto"/>
                <w:sz w:val="24"/>
              </w:rPr>
            </w:pPr>
            <w:r>
              <w:rPr>
                <w:rFonts w:hint="eastAsia" w:ascii="仿宋" w:hAnsi="仿宋" w:eastAsia="仿宋" w:cs="仿宋"/>
                <w:color w:val="auto"/>
                <w:sz w:val="24"/>
              </w:rPr>
              <w:t>项目编号：</w:t>
            </w:r>
          </w:p>
        </w:tc>
      </w:tr>
      <w:tr>
        <w:tblPrEx>
          <w:tblCellMar>
            <w:top w:w="0" w:type="dxa"/>
            <w:left w:w="108" w:type="dxa"/>
            <w:bottom w:w="0" w:type="dxa"/>
            <w:right w:w="108" w:type="dxa"/>
          </w:tblCellMar>
        </w:tblPrEx>
        <w:trPr>
          <w:trHeight w:val="567" w:hRule="atLeast"/>
        </w:trPr>
        <w:tc>
          <w:tcPr>
            <w:tcW w:w="909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报价轮次：第   轮</w:t>
            </w:r>
          </w:p>
        </w:tc>
      </w:tr>
      <w:tr>
        <w:tblPrEx>
          <w:tblCellMar>
            <w:top w:w="0" w:type="dxa"/>
            <w:left w:w="108" w:type="dxa"/>
            <w:bottom w:w="0" w:type="dxa"/>
            <w:right w:w="108" w:type="dxa"/>
          </w:tblCellMar>
        </w:tblPrEx>
        <w:trPr>
          <w:trHeight w:val="567" w:hRule="atLeast"/>
        </w:trPr>
        <w:tc>
          <w:tcPr>
            <w:tcW w:w="6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序号</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维保项目</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型号</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单价限价（元）</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单位</w:t>
            </w:r>
          </w:p>
        </w:tc>
        <w:tc>
          <w:tcPr>
            <w:tcW w:w="763"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数量</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报价单价（元）</w:t>
            </w: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报价总价（元）</w:t>
            </w:r>
          </w:p>
        </w:tc>
      </w:tr>
      <w:tr>
        <w:tblPrEx>
          <w:tblCellMar>
            <w:top w:w="0" w:type="dxa"/>
            <w:left w:w="108" w:type="dxa"/>
            <w:bottom w:w="0" w:type="dxa"/>
            <w:right w:w="108" w:type="dxa"/>
          </w:tblCellMar>
        </w:tblPrEx>
        <w:trPr>
          <w:trHeight w:val="567" w:hRule="atLeast"/>
        </w:trPr>
        <w:tc>
          <w:tcPr>
            <w:tcW w:w="909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一、一期中央空调系统维保报价表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螺杆式冷水机组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LSBLG670HE/Nb</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4600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真空燃气热水锅炉</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ZRQ-60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2300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冷冻水泵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KQL100-200A</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420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热水泵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KQL80-200B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冷却水泵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KQL125-125</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全程水处理器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SYS-200B1.6JZ/D-B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压差控制阀</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DN150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贯流式空气幕</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L=900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方形横流冷却塔</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SC-175H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1900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膨胀水箱</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1000X1000X1000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螺杆式冷水机组自控制系统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1360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4100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风管管道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热泵式热回收型溶液调湿机组</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HVF-12</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18</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末端盘管及控制系统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FPG-34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FPG-51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134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20</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FPG-68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21</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FPG-102</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70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FPG-136</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23</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FPG-170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24</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GIII-60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90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25</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GIII-120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26</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GIII-150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27</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送风口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498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370</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29</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新风口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332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二、二期中央空调系统维保报价表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30</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变频离心式冷水机组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LSBLX600SVT</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7797</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燃气式真空热水锅炉</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ZKW1.4</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冷冻水泵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L=399T/h  H=38mH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热水泵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L=138T/h  H=37.5mHo</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冷却水泵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L=486T/h  H=34mH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全程水处理器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SYS-200B1.6JZ/D-B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420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210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210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38</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贯流式空气幕</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L=900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39</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喷雾推进通风冷却塔</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XNPWT-1000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4500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40</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膨胀水箱</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1500*1500*1000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变频离心式冷水机组自控制系统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6400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风管管道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2900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1790" w:type="dxa"/>
            <w:vMerge w:val="restart"/>
            <w:tcBorders>
              <w:top w:val="nil"/>
              <w:left w:val="nil"/>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洁净新风机组</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CYZ-08</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46</w:t>
            </w:r>
          </w:p>
        </w:tc>
        <w:tc>
          <w:tcPr>
            <w:tcW w:w="1790" w:type="dxa"/>
            <w:vMerge w:val="continue"/>
            <w:tcBorders>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CYZ-09</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47</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卧式暗装风机盘管及控制系统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FP-34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42</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FP-51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FP-68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106</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50</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FP-85</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46</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51</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FP-102</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47</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169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FP-136</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47</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220</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53</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FP-170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54</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FP-204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55</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FP-238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51</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56</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DGV1-80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57</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DGV1-90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135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DGV1-100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DGV1-120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60</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DGV1-150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61</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送风口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985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11</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687</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63</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新风口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711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三、放射科精密空调维保报价表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64</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风冷模块机组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1250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空调循环水泵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1320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室外机组自控制系统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精密空调</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四、信息科精密空调维保报价表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70</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精密空调</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6530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五、手术室净化系统维护保养报价表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71</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6</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18</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77</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79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情报面板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六、ICU净化系统维护保养报价表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84</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4</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87</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89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奥揽达</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85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七、PCR实验室净化系统维护保养报价表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制冷室外机组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1150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2</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排风净化机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1250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99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EK</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2450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560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八、消毒供应室维护保养报价表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109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265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3</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消毒机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115</w:t>
            </w:r>
          </w:p>
        </w:tc>
        <w:tc>
          <w:tcPr>
            <w:tcW w:w="1790"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风机盘管</w:t>
            </w:r>
          </w:p>
        </w:tc>
        <w:tc>
          <w:tcPr>
            <w:tcW w:w="2119"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color w:val="auto"/>
                <w:sz w:val="24"/>
              </w:rPr>
            </w:pPr>
          </w:p>
        </w:tc>
        <w:tc>
          <w:tcPr>
            <w:tcW w:w="1125"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1650</w:t>
            </w:r>
          </w:p>
        </w:tc>
        <w:tc>
          <w:tcPr>
            <w:tcW w:w="762"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color w:val="auto"/>
                <w:sz w:val="24"/>
              </w:rPr>
            </w:pPr>
          </w:p>
        </w:tc>
        <w:tc>
          <w:tcPr>
            <w:tcW w:w="938"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116</w:t>
            </w:r>
          </w:p>
        </w:tc>
        <w:tc>
          <w:tcPr>
            <w:tcW w:w="17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层流净化通风系统管道</w:t>
            </w:r>
          </w:p>
        </w:tc>
        <w:tc>
          <w:tcPr>
            <w:tcW w:w="211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color w:val="auto"/>
                <w:sz w:val="24"/>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1150</w:t>
            </w:r>
          </w:p>
        </w:tc>
        <w:tc>
          <w:tcPr>
            <w:tcW w:w="76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color w:val="auto"/>
                <w:sz w:val="24"/>
              </w:rPr>
            </w:pPr>
            <w:r>
              <w:rPr>
                <w:rFonts w:hint="eastAsia" w:ascii="仿宋" w:hAnsi="仿宋" w:eastAsia="仿宋" w:cs="仿宋"/>
                <w:color w:val="auto"/>
                <w:sz w:val="24"/>
              </w:rPr>
              <w:t>项</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auto"/>
                <w:sz w:val="24"/>
              </w:rPr>
            </w:pPr>
            <w:r>
              <w:rPr>
                <w:rFonts w:hint="eastAsia" w:ascii="仿宋" w:hAnsi="仿宋" w:eastAsia="仿宋" w:cs="仿宋"/>
                <w:color w:val="auto"/>
                <w:sz w:val="24"/>
              </w:rPr>
              <w:t>1</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auto"/>
                <w:sz w:val="24"/>
              </w:rPr>
            </w:pP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color w:val="auto"/>
                <w:sz w:val="24"/>
              </w:rPr>
            </w:pP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color w:val="auto"/>
                <w:sz w:val="24"/>
              </w:rPr>
            </w:pPr>
            <w:r>
              <w:rPr>
                <w:rFonts w:hint="eastAsia" w:ascii="仿宋" w:hAnsi="仿宋" w:eastAsia="仿宋" w:cs="仿宋"/>
                <w:color w:val="auto"/>
                <w:sz w:val="24"/>
              </w:rPr>
              <w:t>报价总价（小写金额）：</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元；下浮比例</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%（保留小数点后两位数）</w:t>
            </w: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仿宋" w:hAnsi="仿宋" w:eastAsia="仿宋" w:cs="仿宋"/>
                <w:color w:val="auto"/>
                <w:sz w:val="24"/>
                <w:lang w:val="en-US" w:eastAsia="zh-CN"/>
              </w:rPr>
            </w:pPr>
            <w:r>
              <w:rPr>
                <w:rFonts w:hint="eastAsia" w:ascii="仿宋" w:hAnsi="仿宋" w:eastAsia="仿宋" w:cs="仿宋"/>
                <w:color w:val="auto"/>
                <w:sz w:val="24"/>
              </w:rPr>
              <w:t>报价总价（大写金额）</w:t>
            </w:r>
            <w:r>
              <w:rPr>
                <w:rFonts w:hint="eastAsia" w:ascii="仿宋" w:hAnsi="仿宋" w:eastAsia="仿宋" w:cs="仿宋"/>
                <w:color w:val="auto"/>
                <w:sz w:val="24"/>
                <w:u w:val="single"/>
              </w:rPr>
              <w:t>：</w:t>
            </w:r>
            <w:r>
              <w:rPr>
                <w:rFonts w:hint="eastAsia" w:ascii="仿宋" w:hAnsi="仿宋" w:eastAsia="仿宋" w:cs="仿宋"/>
                <w:color w:val="auto"/>
                <w:sz w:val="24"/>
                <w:u w:val="single"/>
                <w:lang w:val="en-US" w:eastAsia="zh-CN"/>
              </w:rPr>
              <w:t xml:space="preserve">                            </w:t>
            </w:r>
          </w:p>
        </w:tc>
      </w:tr>
    </w:tbl>
    <w:p>
      <w:pPr>
        <w:spacing w:line="360" w:lineRule="auto"/>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spacing w:line="360" w:lineRule="auto"/>
        <w:ind w:firstLine="480" w:firstLineChars="200"/>
        <w:rPr>
          <w:rFonts w:ascii="仿宋" w:hAnsi="仿宋" w:eastAsia="仿宋" w:cs="仿宋"/>
          <w:bCs/>
          <w:color w:val="auto"/>
          <w:sz w:val="24"/>
        </w:rPr>
      </w:pPr>
      <w:r>
        <w:rPr>
          <w:rFonts w:hint="eastAsia" w:ascii="仿宋" w:hAnsi="仿宋" w:cs="仿宋"/>
          <w:bCs/>
          <w:color w:val="auto"/>
          <w:sz w:val="24"/>
        </w:rPr>
        <w:t>2</w:t>
      </w:r>
      <w:r>
        <w:rPr>
          <w:rFonts w:hint="eastAsia" w:ascii="仿宋" w:hAnsi="仿宋" w:eastAsia="仿宋" w:cs="仿宋"/>
          <w:bCs/>
          <w:color w:val="auto"/>
          <w:sz w:val="24"/>
        </w:rPr>
        <w:t>.特别注意：本表中价格部分建议留空，其余内容可提前填写好。</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3.本项目报价需分项报价和总价报价按照同比例下浮报价，保留小数点后两位。</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4.如不涉及多轮报价，则本表无须提交。</w:t>
      </w:r>
    </w:p>
    <w:p>
      <w:pPr>
        <w:pStyle w:val="2"/>
        <w:rPr>
          <w:color w:val="auto"/>
        </w:rPr>
      </w:pPr>
    </w:p>
    <w:p>
      <w:pPr>
        <w:rPr>
          <w:color w:val="auto"/>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pPr>
        <w:rPr>
          <w:rFonts w:ascii="仿宋" w:hAnsi="仿宋" w:eastAsia="仿宋" w:cs="仿宋"/>
          <w:b/>
          <w:bCs/>
          <w:color w:val="auto"/>
          <w:sz w:val="24"/>
        </w:rPr>
      </w:pPr>
      <w:r>
        <w:rPr>
          <w:rFonts w:hint="eastAsia" w:ascii="仿宋" w:hAnsi="仿宋" w:eastAsia="仿宋" w:cs="仿宋"/>
          <w:b/>
          <w:bCs/>
          <w:color w:val="auto"/>
          <w:sz w:val="24"/>
        </w:rPr>
        <w:br w:type="page"/>
      </w:r>
    </w:p>
    <w:p>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格式3-3:最后报价一览表</w:t>
      </w:r>
    </w:p>
    <w:p>
      <w:pPr>
        <w:widowControl/>
        <w:snapToGrid w:val="0"/>
        <w:spacing w:line="360" w:lineRule="auto"/>
        <w:jc w:val="center"/>
        <w:rPr>
          <w:rFonts w:ascii="仿宋" w:hAnsi="仿宋" w:eastAsia="仿宋" w:cs="仿宋"/>
          <w:b/>
          <w:bCs/>
          <w:color w:val="auto"/>
          <w:sz w:val="24"/>
        </w:rPr>
      </w:pPr>
      <w:r>
        <w:rPr>
          <w:rFonts w:hint="eastAsia" w:ascii="仿宋" w:hAnsi="仿宋" w:eastAsia="仿宋" w:cs="仿宋"/>
          <w:b/>
          <w:bCs/>
          <w:color w:val="auto"/>
          <w:sz w:val="36"/>
          <w:szCs w:val="36"/>
        </w:rPr>
        <w:t>最后报价一览表</w:t>
      </w:r>
    </w:p>
    <w:p>
      <w:pPr>
        <w:pStyle w:val="116"/>
        <w:widowControl/>
        <w:spacing w:line="480" w:lineRule="auto"/>
        <w:ind w:firstLine="0"/>
        <w:jc w:val="center"/>
        <w:rPr>
          <w:rFonts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6"/>
        <w:tblW w:w="9098" w:type="dxa"/>
        <w:tblInd w:w="-130" w:type="dxa"/>
        <w:tblLayout w:type="fixed"/>
        <w:tblCellMar>
          <w:top w:w="0" w:type="dxa"/>
          <w:left w:w="108" w:type="dxa"/>
          <w:bottom w:w="0" w:type="dxa"/>
          <w:right w:w="108" w:type="dxa"/>
        </w:tblCellMar>
      </w:tblPr>
      <w:tblGrid>
        <w:gridCol w:w="614"/>
        <w:gridCol w:w="1790"/>
        <w:gridCol w:w="2119"/>
        <w:gridCol w:w="1125"/>
        <w:gridCol w:w="762"/>
        <w:gridCol w:w="763"/>
        <w:gridCol w:w="987"/>
        <w:gridCol w:w="938"/>
      </w:tblGrid>
      <w:tr>
        <w:tblPrEx>
          <w:tblCellMar>
            <w:top w:w="0" w:type="dxa"/>
            <w:left w:w="108" w:type="dxa"/>
            <w:bottom w:w="0" w:type="dxa"/>
            <w:right w:w="108" w:type="dxa"/>
          </w:tblCellMar>
        </w:tblPrEx>
        <w:trPr>
          <w:trHeight w:val="567" w:hRule="atLeast"/>
        </w:trPr>
        <w:tc>
          <w:tcPr>
            <w:tcW w:w="4523"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spacing w:line="360" w:lineRule="auto"/>
              <w:rPr>
                <w:rFonts w:ascii="仿宋" w:hAnsi="仿宋" w:eastAsia="仿宋" w:cs="仿宋"/>
                <w:bCs/>
                <w:color w:val="auto"/>
                <w:sz w:val="24"/>
                <w:szCs w:val="22"/>
              </w:rPr>
            </w:pPr>
            <w:r>
              <w:rPr>
                <w:rFonts w:hint="eastAsia" w:ascii="仿宋" w:hAnsi="仿宋" w:eastAsia="仿宋" w:cs="仿宋"/>
                <w:bCs/>
                <w:color w:val="auto"/>
                <w:sz w:val="24"/>
                <w:szCs w:val="22"/>
              </w:rPr>
              <w:t>项目名称：</w:t>
            </w:r>
          </w:p>
        </w:tc>
        <w:tc>
          <w:tcPr>
            <w:tcW w:w="4575" w:type="dxa"/>
            <w:gridSpan w:val="5"/>
            <w:tcBorders>
              <w:top w:val="single" w:color="000000" w:sz="8" w:space="0"/>
              <w:left w:val="nil"/>
              <w:bottom w:val="single" w:color="000000" w:sz="8" w:space="0"/>
              <w:right w:val="single" w:color="000000" w:sz="8" w:space="0"/>
            </w:tcBorders>
            <w:shd w:val="clear" w:color="auto" w:fill="auto"/>
            <w:noWrap/>
            <w:vAlign w:val="center"/>
          </w:tcPr>
          <w:p>
            <w:pPr>
              <w:spacing w:line="360" w:lineRule="auto"/>
              <w:rPr>
                <w:rFonts w:ascii="仿宋" w:hAnsi="仿宋" w:eastAsia="仿宋" w:cs="仿宋"/>
                <w:bCs/>
                <w:color w:val="auto"/>
                <w:sz w:val="24"/>
                <w:szCs w:val="22"/>
              </w:rPr>
            </w:pPr>
            <w:r>
              <w:rPr>
                <w:rFonts w:hint="eastAsia" w:ascii="仿宋" w:hAnsi="仿宋" w:eastAsia="仿宋" w:cs="仿宋"/>
                <w:bCs/>
                <w:color w:val="auto"/>
                <w:sz w:val="24"/>
                <w:szCs w:val="22"/>
              </w:rPr>
              <w:t>项目编号：</w:t>
            </w:r>
          </w:p>
        </w:tc>
      </w:tr>
      <w:tr>
        <w:tblPrEx>
          <w:tblCellMar>
            <w:top w:w="0" w:type="dxa"/>
            <w:left w:w="108" w:type="dxa"/>
            <w:bottom w:w="0" w:type="dxa"/>
            <w:right w:w="108" w:type="dxa"/>
          </w:tblCellMar>
        </w:tblPrEx>
        <w:trPr>
          <w:trHeight w:val="567" w:hRule="atLeast"/>
        </w:trPr>
        <w:tc>
          <w:tcPr>
            <w:tcW w:w="6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序号</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维保项目</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型号</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单价限价（元）</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单位</w:t>
            </w:r>
          </w:p>
        </w:tc>
        <w:tc>
          <w:tcPr>
            <w:tcW w:w="763"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数量</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报价单价（元）</w:t>
            </w: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报价总价（元）</w:t>
            </w:r>
          </w:p>
        </w:tc>
      </w:tr>
      <w:tr>
        <w:tblPrEx>
          <w:tblCellMar>
            <w:top w:w="0" w:type="dxa"/>
            <w:left w:w="108" w:type="dxa"/>
            <w:bottom w:w="0" w:type="dxa"/>
            <w:right w:w="108" w:type="dxa"/>
          </w:tblCellMar>
        </w:tblPrEx>
        <w:trPr>
          <w:trHeight w:val="567" w:hRule="atLeast"/>
        </w:trPr>
        <w:tc>
          <w:tcPr>
            <w:tcW w:w="9098"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一、一期中央空调系统维保报价表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螺杆式冷水机组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LSBLG670HE/Nb</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4600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真空燃气热水锅炉</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ZRQ-60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2300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KQL100-200A</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420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热水泵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KQL80-200B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冷却水泵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KQL125-125</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全程水处理器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SYS-200B1.6JZ/D-B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压差控制阀</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DN150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贯流式空气幕</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L=900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方形横流冷却塔</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SC-175H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1900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膨胀水箱</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1000X1000X1000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螺杆式冷水机组自控制系统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4100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风管管道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热泵式热回收型溶液调湿机组</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HVF-12</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18</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末端盘管及控制系统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FPG-34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FPG-51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20</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FPG-68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21</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FPG-102</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FPG-136</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23</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FPG-170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24</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GIII-60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25</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GIII-120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GIII-150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27</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送风口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498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370</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29</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新风口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332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二、二期中央空调系统维保报价表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30</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变频离心式冷水机组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LSBLX600SVT</w:t>
            </w: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7797</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燃气式真空热水锅炉</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ZKW1.4</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L=399T/h  H=38mH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热水泵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L=138T/h  H=37.5mHo</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冷却水泵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L=486T/h  H=34mH</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全程水处理器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SYS-200B1.6JZ/D-B</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420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36</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210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集水器</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210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38</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贯流式空气幕</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L=900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39</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喷雾推进通风冷却塔</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XNPWT-1000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40</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膨胀水箱</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1500*1500*1000</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41</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变频离心式冷水机组自控制系统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42</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6400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43</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风管管道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6200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44</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冷凝水系统管道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2900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1790" w:type="dxa"/>
            <w:vMerge w:val="restart"/>
            <w:tcBorders>
              <w:top w:val="nil"/>
              <w:left w:val="nil"/>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洁净新风机组</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CYZ-08</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660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46</w:t>
            </w:r>
          </w:p>
        </w:tc>
        <w:tc>
          <w:tcPr>
            <w:tcW w:w="1790" w:type="dxa"/>
            <w:vMerge w:val="continue"/>
            <w:tcBorders>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CYZ-09</w:t>
            </w: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47</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卧式暗装风机盘管及控制系统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FP-34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42</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FP-51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FP-68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106</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50</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FP-85</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46</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51</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FP-102</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47</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169</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FP-136</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47</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220</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53</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FP-170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54</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FP-204</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49</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33</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55</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FP-238</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51</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56</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吊顶式空调机组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DGV1-80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57</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DGV1-90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58</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DGV1-100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59</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DGV1-120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60</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DGV1-150</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61</w:t>
            </w:r>
          </w:p>
        </w:tc>
        <w:tc>
          <w:tcPr>
            <w:tcW w:w="1790" w:type="dxa"/>
            <w:vMerge w:val="restart"/>
            <w:tcBorders>
              <w:top w:val="nil"/>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风口回风网清洗消毒</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送风口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985</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62</w:t>
            </w:r>
          </w:p>
        </w:tc>
        <w:tc>
          <w:tcPr>
            <w:tcW w:w="1790" w:type="dxa"/>
            <w:vMerge w:val="continue"/>
            <w:tcBorders>
              <w:left w:val="nil"/>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回风口及滤网</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687</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63</w:t>
            </w:r>
          </w:p>
        </w:tc>
        <w:tc>
          <w:tcPr>
            <w:tcW w:w="1790" w:type="dxa"/>
            <w:vMerge w:val="continue"/>
            <w:tcBorders>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新风口</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711</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三、放射科精密空调维保报价表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64</w:t>
            </w:r>
          </w:p>
        </w:tc>
        <w:tc>
          <w:tcPr>
            <w:tcW w:w="1790"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风冷模块机组</w:t>
            </w:r>
          </w:p>
        </w:tc>
        <w:tc>
          <w:tcPr>
            <w:tcW w:w="2119"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1250</w:t>
            </w:r>
          </w:p>
        </w:tc>
        <w:tc>
          <w:tcPr>
            <w:tcW w:w="762"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65</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空调循环水泵</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67</w:t>
            </w:r>
          </w:p>
        </w:tc>
        <w:tc>
          <w:tcPr>
            <w:tcW w:w="1790"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1320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室外机组自控制系统</w:t>
            </w:r>
          </w:p>
        </w:tc>
        <w:tc>
          <w:tcPr>
            <w:tcW w:w="2119"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精密空调</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四、信息科精密空调维保报价表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70</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精密空调</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6530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五、手术室净化系统维护保养报价表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71</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18</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77</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79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情报面板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六、ICU净化系统维护保养报价表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84</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87</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奥揽达</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85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层流净化通风系统管道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七、PCR实验室净化系统维护保养报价表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制冷室外机组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EK</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1150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排风净化机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EK</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1250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99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组合式空气处理机组</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EK</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2450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加湿器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紫外线杀菌系统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电加热器</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净化机组智控系统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105</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净化机组控制面板</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173</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套</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106</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八、消毒供应室维护保养报价表</w:t>
            </w: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107</w:t>
            </w:r>
          </w:p>
        </w:tc>
        <w:tc>
          <w:tcPr>
            <w:tcW w:w="1790"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65KW风冷模块机组</w:t>
            </w:r>
          </w:p>
        </w:tc>
        <w:tc>
          <w:tcPr>
            <w:tcW w:w="2119"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海尔LSQWRF65/R2Y</w:t>
            </w:r>
          </w:p>
        </w:tc>
        <w:tc>
          <w:tcPr>
            <w:tcW w:w="1125"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1000</w:t>
            </w:r>
          </w:p>
        </w:tc>
        <w:tc>
          <w:tcPr>
            <w:tcW w:w="762" w:type="dxa"/>
            <w:tcBorders>
              <w:top w:val="single" w:color="000000" w:sz="8" w:space="0"/>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w:t>
            </w:r>
          </w:p>
        </w:tc>
        <w:tc>
          <w:tcPr>
            <w:tcW w:w="987"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single" w:color="000000" w:sz="8" w:space="0"/>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108</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排风机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KTW2801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488</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109</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制冷设备自控制系统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AHU-01</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280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5</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110</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空调水泵</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15KW</w:t>
            </w: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265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111</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补水箱</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300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112</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冷冻水系统管道</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113</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消毒机</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140</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台</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114</w:t>
            </w:r>
          </w:p>
        </w:tc>
        <w:tc>
          <w:tcPr>
            <w:tcW w:w="1790"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电气和弱电控制系统</w:t>
            </w:r>
          </w:p>
        </w:tc>
        <w:tc>
          <w:tcPr>
            <w:tcW w:w="2119"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155</w:t>
            </w:r>
          </w:p>
        </w:tc>
        <w:tc>
          <w:tcPr>
            <w:tcW w:w="762" w:type="dxa"/>
            <w:tcBorders>
              <w:top w:val="nil"/>
              <w:left w:val="nil"/>
              <w:bottom w:val="single" w:color="000000" w:sz="8"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000000" w:sz="8"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115</w:t>
            </w:r>
          </w:p>
        </w:tc>
        <w:tc>
          <w:tcPr>
            <w:tcW w:w="1790"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风机盘管</w:t>
            </w:r>
          </w:p>
        </w:tc>
        <w:tc>
          <w:tcPr>
            <w:tcW w:w="2119"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1650</w:t>
            </w:r>
          </w:p>
        </w:tc>
        <w:tc>
          <w:tcPr>
            <w:tcW w:w="762" w:type="dxa"/>
            <w:tcBorders>
              <w:top w:val="nil"/>
              <w:left w:val="nil"/>
              <w:bottom w:val="single" w:color="auto" w:sz="4" w:space="0"/>
              <w:right w:val="single" w:color="000000" w:sz="8"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nil"/>
              <w:left w:val="nil"/>
              <w:bottom w:val="single" w:color="auto" w:sz="4" w:space="0"/>
              <w:right w:val="single" w:color="000000" w:sz="8"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116</w:t>
            </w:r>
          </w:p>
        </w:tc>
        <w:tc>
          <w:tcPr>
            <w:tcW w:w="179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层流净化通风系统管道</w:t>
            </w:r>
          </w:p>
        </w:tc>
        <w:tc>
          <w:tcPr>
            <w:tcW w:w="211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bCs/>
                <w:color w:val="auto"/>
                <w:sz w:val="24"/>
                <w:szCs w:val="22"/>
              </w:rPr>
            </w:pP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1150</w:t>
            </w:r>
          </w:p>
        </w:tc>
        <w:tc>
          <w:tcPr>
            <w:tcW w:w="76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项</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bCs/>
                <w:color w:val="auto"/>
                <w:sz w:val="24"/>
                <w:szCs w:val="22"/>
              </w:rPr>
            </w:pPr>
            <w:r>
              <w:rPr>
                <w:rFonts w:hint="eastAsia" w:ascii="仿宋" w:hAnsi="仿宋" w:eastAsia="仿宋" w:cs="仿宋"/>
                <w:bCs/>
                <w:color w:val="auto"/>
                <w:sz w:val="24"/>
                <w:szCs w:val="22"/>
              </w:rPr>
              <w:t>1</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bCs/>
                <w:color w:val="auto"/>
                <w:sz w:val="24"/>
                <w:szCs w:val="22"/>
              </w:rPr>
            </w:pP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仿宋"/>
                <w:bCs/>
                <w:color w:val="auto"/>
                <w:sz w:val="24"/>
                <w:szCs w:val="22"/>
              </w:rPr>
            </w:pP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仿宋" w:hAnsi="仿宋" w:eastAsia="仿宋" w:cs="仿宋"/>
                <w:bCs/>
                <w:color w:val="auto"/>
                <w:sz w:val="24"/>
                <w:szCs w:val="22"/>
              </w:rPr>
            </w:pPr>
            <w:r>
              <w:rPr>
                <w:rFonts w:hint="eastAsia" w:ascii="仿宋" w:hAnsi="仿宋" w:eastAsia="仿宋" w:cs="仿宋"/>
                <w:bCs/>
                <w:color w:val="auto"/>
                <w:sz w:val="24"/>
                <w:szCs w:val="22"/>
              </w:rPr>
              <w:t>报价总价（小写金额）：</w:t>
            </w:r>
            <w:r>
              <w:rPr>
                <w:rFonts w:hint="eastAsia" w:ascii="仿宋" w:hAnsi="仿宋" w:eastAsia="仿宋" w:cs="仿宋"/>
                <w:bCs/>
                <w:color w:val="auto"/>
                <w:sz w:val="24"/>
                <w:szCs w:val="22"/>
                <w:u w:val="single"/>
                <w:lang w:val="en-US" w:eastAsia="zh-CN"/>
              </w:rPr>
              <w:t xml:space="preserve">            </w:t>
            </w:r>
            <w:r>
              <w:rPr>
                <w:rFonts w:hint="eastAsia" w:ascii="仿宋" w:hAnsi="仿宋" w:eastAsia="仿宋" w:cs="仿宋"/>
                <w:bCs/>
                <w:color w:val="auto"/>
                <w:sz w:val="24"/>
                <w:szCs w:val="22"/>
              </w:rPr>
              <w:t>元；下浮比例</w:t>
            </w:r>
            <w:r>
              <w:rPr>
                <w:rFonts w:hint="eastAsia" w:ascii="仿宋" w:hAnsi="仿宋" w:eastAsia="仿宋" w:cs="仿宋"/>
                <w:bCs/>
                <w:color w:val="auto"/>
                <w:sz w:val="24"/>
                <w:szCs w:val="22"/>
                <w:u w:val="single"/>
                <w:lang w:val="en-US" w:eastAsia="zh-CN"/>
              </w:rPr>
              <w:t xml:space="preserve">     </w:t>
            </w:r>
            <w:r>
              <w:rPr>
                <w:rFonts w:hint="eastAsia" w:ascii="仿宋" w:hAnsi="仿宋" w:eastAsia="仿宋" w:cs="仿宋"/>
                <w:bCs/>
                <w:color w:val="auto"/>
                <w:sz w:val="24"/>
                <w:szCs w:val="22"/>
              </w:rPr>
              <w:t>%（保留小数点后两位数）</w:t>
            </w:r>
          </w:p>
        </w:tc>
      </w:tr>
      <w:tr>
        <w:tblPrEx>
          <w:tblCellMar>
            <w:top w:w="0" w:type="dxa"/>
            <w:left w:w="108" w:type="dxa"/>
            <w:bottom w:w="0" w:type="dxa"/>
            <w:right w:w="108" w:type="dxa"/>
          </w:tblCellMar>
        </w:tblPrEx>
        <w:trPr>
          <w:trHeight w:val="567" w:hRule="atLeast"/>
        </w:trPr>
        <w:tc>
          <w:tcPr>
            <w:tcW w:w="909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hint="default" w:ascii="仿宋" w:hAnsi="仿宋" w:eastAsia="仿宋" w:cs="仿宋"/>
                <w:bCs/>
                <w:color w:val="auto"/>
                <w:sz w:val="24"/>
                <w:szCs w:val="22"/>
                <w:lang w:val="en-US" w:eastAsia="zh-CN"/>
              </w:rPr>
            </w:pPr>
            <w:r>
              <w:rPr>
                <w:rFonts w:hint="eastAsia" w:ascii="仿宋" w:hAnsi="仿宋" w:eastAsia="仿宋" w:cs="仿宋"/>
                <w:bCs/>
                <w:color w:val="auto"/>
                <w:sz w:val="24"/>
                <w:szCs w:val="22"/>
              </w:rPr>
              <w:t>报价总价（大写金额）：</w:t>
            </w:r>
            <w:r>
              <w:rPr>
                <w:rFonts w:hint="eastAsia" w:ascii="仿宋" w:hAnsi="仿宋" w:eastAsia="仿宋" w:cs="仿宋"/>
                <w:bCs/>
                <w:color w:val="auto"/>
                <w:sz w:val="24"/>
                <w:szCs w:val="22"/>
                <w:u w:val="single"/>
                <w:lang w:val="en-US" w:eastAsia="zh-CN"/>
              </w:rPr>
              <w:t xml:space="preserve">                              </w:t>
            </w:r>
          </w:p>
        </w:tc>
      </w:tr>
    </w:tbl>
    <w:p>
      <w:pPr>
        <w:spacing w:line="360" w:lineRule="auto"/>
        <w:rPr>
          <w:rFonts w:ascii="仿宋" w:hAnsi="仿宋" w:eastAsia="仿宋" w:cs="仿宋"/>
          <w:bCs/>
          <w:color w:val="auto"/>
          <w:sz w:val="24"/>
          <w:szCs w:val="22"/>
        </w:rPr>
      </w:pPr>
    </w:p>
    <w:p>
      <w:pPr>
        <w:spacing w:line="360" w:lineRule="auto"/>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pPr>
        <w:pStyle w:val="116"/>
        <w:numPr>
          <w:ilvl w:val="0"/>
          <w:numId w:val="3"/>
        </w:numPr>
        <w:ind w:firstLine="480" w:firstLineChars="200"/>
        <w:rPr>
          <w:rFonts w:ascii="仿宋" w:hAnsi="仿宋" w:eastAsia="仿宋" w:cs="仿宋"/>
          <w:bCs/>
          <w:color w:val="auto"/>
          <w:sz w:val="24"/>
        </w:rPr>
      </w:pPr>
      <w:r>
        <w:rPr>
          <w:rFonts w:hint="eastAsia" w:ascii="仿宋" w:hAnsi="仿宋" w:eastAsia="仿宋" w:cs="仿宋"/>
          <w:bCs/>
          <w:color w:val="auto"/>
          <w:sz w:val="24"/>
        </w:rPr>
        <w:t>本项目报价需分项报价和总价报价按照同比例下浮报价，保留小数点后两位。</w:t>
      </w:r>
    </w:p>
    <w:p>
      <w:pPr>
        <w:pStyle w:val="116"/>
        <w:numPr>
          <w:ilvl w:val="0"/>
          <w:numId w:val="3"/>
        </w:numPr>
        <w:ind w:firstLine="480" w:firstLineChars="200"/>
        <w:rPr>
          <w:rFonts w:ascii="仿宋" w:hAnsi="仿宋" w:eastAsia="仿宋" w:cs="仿宋"/>
          <w:bCs/>
          <w:color w:val="auto"/>
          <w:sz w:val="24"/>
        </w:rPr>
      </w:pPr>
      <w:r>
        <w:rPr>
          <w:rFonts w:hint="eastAsia" w:ascii="仿宋" w:hAnsi="仿宋" w:eastAsia="仿宋" w:cs="仿宋"/>
          <w:bCs/>
          <w:color w:val="auto"/>
          <w:sz w:val="24"/>
        </w:rPr>
        <w:t>特别注意：本表中价格部分建议留空，其余内容可提前填写好。</w:t>
      </w:r>
    </w:p>
    <w:p>
      <w:pPr>
        <w:pStyle w:val="116"/>
        <w:ind w:firstLine="480" w:firstLineChars="200"/>
        <w:rPr>
          <w:rFonts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bookmarkEnd w:id="118"/>
      <w:bookmarkEnd w:id="119"/>
      <w:bookmarkStart w:id="120" w:name="_Toc25789"/>
      <w:bookmarkStart w:id="121" w:name="_Toc25006"/>
      <w:bookmarkStart w:id="122" w:name="_Toc14104"/>
      <w:bookmarkStart w:id="123" w:name="_Toc17388"/>
      <w:r>
        <w:rPr>
          <w:rFonts w:hint="eastAsia" w:ascii="仿宋" w:hAnsi="仿宋" w:eastAsia="仿宋" w:cs="仿宋"/>
          <w:bCs/>
          <w:color w:val="auto"/>
          <w:sz w:val="24"/>
        </w:rPr>
        <w:t>：</w:t>
      </w:r>
    </w:p>
    <w:p>
      <w:pPr>
        <w:rPr>
          <w:rFonts w:ascii="仿宋" w:hAnsi="仿宋" w:eastAsia="仿宋" w:cs="仿宋"/>
          <w:bCs/>
          <w:color w:val="auto"/>
          <w:sz w:val="24"/>
        </w:rPr>
      </w:pPr>
      <w:r>
        <w:rPr>
          <w:rFonts w:hint="eastAsia" w:ascii="仿宋" w:hAnsi="仿宋" w:eastAsia="仿宋" w:cs="仿宋"/>
          <w:bCs/>
          <w:color w:val="auto"/>
          <w:sz w:val="24"/>
        </w:rPr>
        <w:br w:type="page"/>
      </w:r>
    </w:p>
    <w:p>
      <w:pPr>
        <w:snapToGrid w:val="0"/>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第四部分“电子文档”格式</w:t>
      </w:r>
    </w:p>
    <w:p>
      <w:pPr>
        <w:pStyle w:val="2"/>
        <w:rPr>
          <w:color w:val="auto"/>
        </w:rPr>
      </w:pPr>
    </w:p>
    <w:p>
      <w:pPr>
        <w:tabs>
          <w:tab w:val="left" w:leader="dot" w:pos="7380"/>
        </w:tabs>
        <w:snapToGrid w:val="0"/>
        <w:spacing w:line="324" w:lineRule="auto"/>
        <w:outlineLvl w:val="2"/>
        <w:rPr>
          <w:rFonts w:ascii="仿宋" w:hAnsi="仿宋" w:eastAsia="仿宋" w:cs="仿宋"/>
          <w:b/>
          <w:bCs/>
          <w:color w:val="auto"/>
          <w:sz w:val="30"/>
          <w:szCs w:val="30"/>
        </w:rPr>
      </w:pPr>
      <w:r>
        <w:rPr>
          <w:rFonts w:hint="eastAsia" w:ascii="仿宋" w:hAnsi="仿宋" w:eastAsia="仿宋" w:cs="仿宋"/>
          <w:b/>
          <w:bCs/>
          <w:color w:val="auto"/>
          <w:sz w:val="24"/>
        </w:rPr>
        <w:t>格式4-1:电子文档封面</w:t>
      </w:r>
    </w:p>
    <w:p>
      <w:pPr>
        <w:tabs>
          <w:tab w:val="left" w:leader="dot" w:pos="7380"/>
        </w:tabs>
        <w:snapToGrid w:val="0"/>
        <w:spacing w:line="324" w:lineRule="auto"/>
        <w:jc w:val="left"/>
        <w:rPr>
          <w:rFonts w:ascii="仿宋" w:hAnsi="仿宋" w:eastAsia="仿宋" w:cs="仿宋"/>
          <w:b/>
          <w:bCs/>
          <w:color w:val="auto"/>
          <w:sz w:val="32"/>
          <w:szCs w:val="32"/>
        </w:rPr>
      </w:pPr>
    </w:p>
    <w:p>
      <w:pPr>
        <w:pStyle w:val="2"/>
        <w:rPr>
          <w:color w:val="auto"/>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spacing w:line="324" w:lineRule="auto"/>
        <w:jc w:val="left"/>
        <w:rPr>
          <w:rFonts w:ascii="仿宋" w:hAnsi="仿宋" w:eastAsia="仿宋" w:cs="仿宋"/>
          <w:b/>
          <w:bCs/>
          <w:color w:val="auto"/>
          <w:sz w:val="32"/>
          <w:szCs w:val="32"/>
        </w:rPr>
      </w:pPr>
    </w:p>
    <w:p>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电子文档</w:t>
      </w:r>
    </w:p>
    <w:p>
      <w:pPr>
        <w:tabs>
          <w:tab w:val="left" w:leader="dot" w:pos="7380"/>
        </w:tabs>
        <w:snapToGrid w:val="0"/>
        <w:spacing w:line="324" w:lineRule="auto"/>
        <w:jc w:val="center"/>
        <w:rPr>
          <w:rFonts w:ascii="仿宋" w:hAnsi="仿宋" w:eastAsia="仿宋" w:cs="仿宋"/>
          <w:b/>
          <w:bCs/>
          <w:color w:val="auto"/>
          <w:sz w:val="32"/>
          <w:szCs w:val="32"/>
        </w:rPr>
      </w:pPr>
    </w:p>
    <w:p>
      <w:pPr>
        <w:tabs>
          <w:tab w:val="left" w:leader="dot" w:pos="7380"/>
        </w:tabs>
        <w:snapToGrid w:val="0"/>
        <w:spacing w:line="324" w:lineRule="auto"/>
        <w:jc w:val="center"/>
        <w:rPr>
          <w:rFonts w:ascii="仿宋" w:hAnsi="仿宋" w:eastAsia="仿宋" w:cs="仿宋"/>
          <w:b/>
          <w:bCs/>
          <w:color w:val="auto"/>
          <w:sz w:val="32"/>
          <w:szCs w:val="32"/>
        </w:rPr>
      </w:pPr>
    </w:p>
    <w:p>
      <w:pPr>
        <w:tabs>
          <w:tab w:val="left" w:pos="4005"/>
          <w:tab w:val="left" w:leader="dot" w:pos="7380"/>
        </w:tabs>
        <w:snapToGrid w:val="0"/>
        <w:spacing w:line="324"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jc w:val="left"/>
        <w:rPr>
          <w:rFonts w:ascii="仿宋" w:hAnsi="仿宋" w:eastAsia="仿宋" w:cs="仿宋"/>
          <w:b/>
          <w:bCs/>
          <w:color w:val="auto"/>
          <w:sz w:val="32"/>
          <w:szCs w:val="32"/>
        </w:rPr>
      </w:pP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pPr>
        <w:widowControl/>
        <w:tabs>
          <w:tab w:val="left" w:leader="dot" w:pos="7380"/>
        </w:tabs>
        <w:snapToGrid w:val="0"/>
        <w:spacing w:line="360" w:lineRule="auto"/>
        <w:ind w:firstLine="643" w:firstLineChars="200"/>
        <w:jc w:val="left"/>
        <w:rPr>
          <w:rFonts w:ascii="仿宋" w:hAnsi="仿宋" w:eastAsia="仿宋" w:cs="仿宋"/>
          <w:b/>
          <w:bCs/>
          <w:color w:val="auto"/>
          <w:sz w:val="32"/>
          <w:szCs w:val="32"/>
        </w:rPr>
        <w:sectPr>
          <w:headerReference r:id="rId13" w:type="first"/>
          <w:footerReference r:id="rId15" w:type="first"/>
          <w:headerReference r:id="rId12" w:type="default"/>
          <w:footerReference r:id="rId14" w:type="default"/>
          <w:pgSz w:w="11906" w:h="16838"/>
          <w:pgMar w:top="1134" w:right="1755" w:bottom="1134" w:left="1531" w:header="851" w:footer="850" w:gutter="0"/>
          <w:cols w:space="720" w:num="1"/>
          <w:titlePg/>
          <w:docGrid w:linePitch="312" w:charSpace="0"/>
        </w:sectPr>
      </w:pPr>
      <w:r>
        <w:rPr>
          <w:rFonts w:hint="eastAsia" w:ascii="仿宋" w:hAnsi="仿宋" w:eastAsia="仿宋" w:cs="仿宋"/>
          <w:b/>
          <w:bCs/>
          <w:color w:val="auto"/>
          <w:sz w:val="32"/>
          <w:szCs w:val="32"/>
        </w:rPr>
        <w:t>日期：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日</w:t>
      </w:r>
    </w:p>
    <w:p>
      <w:pPr>
        <w:spacing w:afterLines="100"/>
        <w:jc w:val="center"/>
        <w:outlineLvl w:val="0"/>
        <w:rPr>
          <w:rFonts w:ascii="仿宋" w:hAnsi="仿宋" w:eastAsia="仿宋" w:cs="仿宋"/>
          <w:b/>
          <w:color w:val="auto"/>
          <w:sz w:val="36"/>
          <w:szCs w:val="36"/>
        </w:rPr>
      </w:pPr>
      <w:bookmarkStart w:id="124" w:name="_Toc5293"/>
      <w:bookmarkStart w:id="125" w:name="_Toc26224"/>
      <w:r>
        <w:rPr>
          <w:rFonts w:hint="eastAsia" w:ascii="仿宋" w:hAnsi="仿宋" w:eastAsia="仿宋" w:cs="仿宋"/>
          <w:b/>
          <w:color w:val="auto"/>
          <w:sz w:val="36"/>
          <w:szCs w:val="36"/>
        </w:rPr>
        <w:t>第八章 评审办法</w:t>
      </w:r>
      <w:bookmarkEnd w:id="120"/>
      <w:bookmarkEnd w:id="121"/>
      <w:bookmarkEnd w:id="122"/>
      <w:bookmarkEnd w:id="123"/>
      <w:bookmarkEnd w:id="124"/>
      <w:bookmarkEnd w:id="125"/>
    </w:p>
    <w:p>
      <w:pPr>
        <w:numPr>
          <w:ilvl w:val="255"/>
          <w:numId w:val="0"/>
        </w:numPr>
        <w:spacing w:beforeLines="100"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一、总则</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1.根据本项目特点制定本评审办法。</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2.评审工作由采购代理机构负责组织，具体评审事务由采购代理机构依法组建的评审委员会负责。评审委员会由采购人代表和有关技术、经济等方面的专家组成。</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3.评审工作应遵循公平、公正、同时兼顾充分满足采购需求、保证采购项目质量的原则。</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4.评审委员会按照谈判文件规定的评审方法和标准进行评审，并独立履行下列职责：</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（1）熟悉和理解谈判文件；</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（5）起草评审报告并进行签署；</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5.评审过程独立、保密。供应商非法干预评审过程的行为将导致其响应文件作为无效文件处理。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6.评审委员会评价响应文件的实质性，对于供应商人而言，除评审委员会要求其澄清、说明或者更正而提供的资料外，仅依据响应文件本身的内容，不寻求其他外部证据。</w:t>
      </w:r>
    </w:p>
    <w:p>
      <w:pPr>
        <w:numPr>
          <w:ilvl w:val="0"/>
          <w:numId w:val="4"/>
        </w:numPr>
        <w:spacing w:beforeLines="100" w:afterLines="100" w:line="360" w:lineRule="auto"/>
        <w:jc w:val="center"/>
        <w:outlineLvl w:val="1"/>
        <w:rPr>
          <w:rFonts w:ascii="仿宋" w:hAnsi="仿宋" w:eastAsia="仿宋" w:cs="仿宋"/>
          <w:b/>
          <w:color w:val="auto"/>
          <w:sz w:val="30"/>
          <w:szCs w:val="30"/>
        </w:rPr>
      </w:pPr>
      <w:bookmarkStart w:id="126" w:name="_Toc2136"/>
      <w:bookmarkStart w:id="127" w:name="_Toc2492_WPSOffice_Level2"/>
      <w:bookmarkStart w:id="128" w:name="_Toc26115_WPSOffice_Level2"/>
      <w:r>
        <w:rPr>
          <w:rFonts w:hint="eastAsia" w:ascii="仿宋" w:hAnsi="仿宋" w:eastAsia="仿宋" w:cs="仿宋"/>
          <w:b/>
          <w:color w:val="auto"/>
          <w:sz w:val="30"/>
          <w:szCs w:val="30"/>
        </w:rPr>
        <w:t>评审方法</w:t>
      </w:r>
      <w:bookmarkEnd w:id="126"/>
      <w:bookmarkEnd w:id="127"/>
      <w:bookmarkEnd w:id="128"/>
    </w:p>
    <w:p>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7.本项目评审方法</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pPr>
        <w:pStyle w:val="6"/>
        <w:keepNext w:val="0"/>
        <w:spacing w:beforeLines="100" w:afterLines="100" w:line="360" w:lineRule="auto"/>
        <w:jc w:val="center"/>
        <w:rPr>
          <w:rFonts w:ascii="仿宋" w:hAnsi="仿宋" w:eastAsia="仿宋"/>
          <w:color w:val="auto"/>
          <w:sz w:val="30"/>
          <w:szCs w:val="30"/>
        </w:rPr>
      </w:pPr>
      <w:r>
        <w:rPr>
          <w:rFonts w:hint="eastAsia" w:ascii="仿宋" w:hAnsi="仿宋" w:eastAsia="仿宋" w:cs="仿宋"/>
          <w:color w:val="auto"/>
          <w:sz w:val="30"/>
          <w:szCs w:val="30"/>
        </w:rPr>
        <w:t>三、谈判程序</w:t>
      </w:r>
    </w:p>
    <w:p>
      <w:pPr>
        <w:spacing w:line="360" w:lineRule="auto"/>
        <w:ind w:firstLine="482" w:firstLineChars="200"/>
        <w:rPr>
          <w:rFonts w:ascii="仿宋" w:hAnsi="仿宋" w:eastAsia="仿宋"/>
          <w:b/>
          <w:color w:val="auto"/>
          <w:sz w:val="24"/>
        </w:rPr>
      </w:pPr>
      <w:r>
        <w:rPr>
          <w:rFonts w:hint="eastAsia" w:ascii="仿宋" w:hAnsi="仿宋" w:eastAsia="仿宋" w:cs="仿宋"/>
          <w:b/>
          <w:color w:val="auto"/>
          <w:sz w:val="24"/>
        </w:rPr>
        <w:t>8.审查谈判文件和停止评审</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8.</w:t>
      </w:r>
      <w:r>
        <w:rPr>
          <w:rFonts w:ascii="仿宋" w:hAnsi="仿宋" w:eastAsia="仿宋" w:cs="仿宋"/>
          <w:color w:val="auto"/>
          <w:sz w:val="24"/>
        </w:rPr>
        <w:t>1</w:t>
      </w:r>
      <w:r>
        <w:rPr>
          <w:rFonts w:hint="eastAsia" w:ascii="仿宋" w:hAnsi="仿宋" w:eastAsia="仿宋" w:cs="仿宋"/>
          <w:color w:val="auto"/>
          <w:sz w:val="24"/>
        </w:rPr>
        <w:t>谈判小组正式评审前，应当对谈判文件进行熟悉和理解，内容主要包括谈判文件中供应商资格条件要求、采购项目技术、服务和商务要求、谈判办法和标准、政府采购政策要求以及政府采购合同主要条款等。</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8.</w:t>
      </w:r>
      <w:r>
        <w:rPr>
          <w:rFonts w:ascii="仿宋" w:hAnsi="仿宋" w:eastAsia="仿宋" w:cs="仿宋"/>
          <w:color w:val="auto"/>
          <w:sz w:val="24"/>
        </w:rPr>
        <w:t>2</w:t>
      </w:r>
      <w:r>
        <w:rPr>
          <w:rFonts w:hint="eastAsia" w:ascii="仿宋" w:hAnsi="仿宋" w:eastAsia="仿宋" w:cs="仿宋"/>
          <w:color w:val="auto"/>
          <w:sz w:val="24"/>
        </w:rPr>
        <w:t>本谈判文件有下列情形之一的，谈判小组应当停止评审：</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）谈判文件的规定存在歧义、重大缺陷，导致评审无法进行的；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）谈判文件明显以不合理条件对供应商实行差别待遇或者歧视待遇的；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）采购项目属于国家规定的优先、强制采购范围，但是谈判文件未依法体现优先、强制采购相关规定的；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）采购项目属于政府采购促进中小企业发展的范围，但是谈判文件未依法体现促进中小企业发展相关规定的；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）谈判文件载明的成交原则不合法的；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6</w:t>
      </w:r>
      <w:r>
        <w:rPr>
          <w:rFonts w:hint="eastAsia" w:ascii="仿宋" w:hAnsi="仿宋" w:eastAsia="仿宋" w:cs="仿宋"/>
          <w:color w:val="auto"/>
          <w:sz w:val="24"/>
        </w:rPr>
        <w:t>）谈判文件有违反国家其他有关强制性规定的情形。</w:t>
      </w:r>
    </w:p>
    <w:p>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8</w:t>
      </w:r>
      <w:r>
        <w:rPr>
          <w:rFonts w:ascii="仿宋" w:hAnsi="仿宋" w:eastAsia="仿宋" w:cs="仿宋"/>
          <w:color w:val="auto"/>
          <w:sz w:val="24"/>
        </w:rPr>
        <w:t>.3</w:t>
      </w:r>
      <w:r>
        <w:rPr>
          <w:rFonts w:hint="eastAsia" w:ascii="仿宋" w:hAnsi="仿宋" w:eastAsia="仿宋" w:cs="仿宋"/>
          <w:color w:val="auto"/>
          <w:sz w:val="24"/>
        </w:rPr>
        <w:t>出现本章8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pPr>
        <w:pStyle w:val="2"/>
        <w:spacing w:line="360" w:lineRule="auto"/>
        <w:rPr>
          <w:color w:val="auto"/>
        </w:rPr>
      </w:pPr>
    </w:p>
    <w:p>
      <w:pPr>
        <w:widowControl/>
        <w:spacing w:line="360" w:lineRule="auto"/>
        <w:ind w:firstLine="482" w:firstLineChars="200"/>
        <w:jc w:val="left"/>
        <w:rPr>
          <w:color w:val="auto"/>
        </w:rPr>
      </w:pPr>
      <w:r>
        <w:rPr>
          <w:rFonts w:hint="eastAsia" w:ascii="仿宋" w:hAnsi="仿宋" w:eastAsia="仿宋" w:cs="仿宋"/>
          <w:b/>
          <w:color w:val="auto"/>
          <w:kern w:val="0"/>
          <w:sz w:val="24"/>
        </w:rPr>
        <w:t>9.</w:t>
      </w:r>
      <w:r>
        <w:rPr>
          <w:rFonts w:ascii="仿宋" w:hAnsi="仿宋" w:eastAsia="仿宋" w:cs="仿宋"/>
          <w:b/>
          <w:color w:val="auto"/>
          <w:kern w:val="0"/>
          <w:sz w:val="24"/>
        </w:rPr>
        <w:t>资格性审查</w:t>
      </w:r>
    </w:p>
    <w:p>
      <w:pPr>
        <w:widowControl/>
        <w:spacing w:line="360" w:lineRule="auto"/>
        <w:ind w:firstLine="480" w:firstLineChars="200"/>
        <w:jc w:val="left"/>
        <w:rPr>
          <w:color w:val="auto"/>
        </w:rPr>
      </w:pPr>
      <w:r>
        <w:rPr>
          <w:rFonts w:hint="eastAsia" w:ascii="仿宋" w:hAnsi="仿宋" w:eastAsia="仿宋" w:cs="仿宋"/>
          <w:color w:val="auto"/>
          <w:kern w:val="0"/>
          <w:sz w:val="24"/>
        </w:rPr>
        <w:t xml:space="preserve">9.1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pPr>
        <w:widowControl/>
        <w:spacing w:line="360" w:lineRule="auto"/>
        <w:ind w:firstLine="480" w:firstLineChars="200"/>
        <w:jc w:val="left"/>
        <w:rPr>
          <w:color w:val="auto"/>
        </w:rPr>
      </w:pPr>
      <w:r>
        <w:rPr>
          <w:rFonts w:hint="eastAsia" w:ascii="仿宋" w:hAnsi="仿宋" w:eastAsia="仿宋" w:cs="仿宋"/>
          <w:color w:val="auto"/>
          <w:kern w:val="0"/>
          <w:sz w:val="24"/>
        </w:rPr>
        <w:t>9.2资格性审查结束后，评审小组应当出具资格性审查报告，没有通过资格审查的供应商，评审小组应当在资格审查报告中说明原因。</w:t>
      </w:r>
    </w:p>
    <w:p>
      <w:pPr>
        <w:widowControl/>
        <w:spacing w:line="360" w:lineRule="auto"/>
        <w:ind w:firstLine="480" w:firstLineChars="200"/>
        <w:jc w:val="left"/>
        <w:rPr>
          <w:color w:val="auto"/>
        </w:rPr>
      </w:pPr>
      <w:r>
        <w:rPr>
          <w:rFonts w:hint="eastAsia" w:ascii="仿宋" w:hAnsi="仿宋" w:eastAsia="仿宋" w:cs="仿宋"/>
          <w:color w:val="auto"/>
          <w:kern w:val="0"/>
          <w:sz w:val="24"/>
        </w:rPr>
        <w:t>9.3评审小组应依据谈判文件规定的实质性要求，对符合资格的响应文件进行有效性、完整性和响应程度审查，以确定参加谈判的供应商名单。</w:t>
      </w:r>
    </w:p>
    <w:p>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rPr>
        <w:t xml:space="preserve">9.4采购人或者采购代理机构宣布未通过资格性审查的供应商名单时，应当告知供应商未通过审查的原因。 </w:t>
      </w:r>
    </w:p>
    <w:p>
      <w:pPr>
        <w:pStyle w:val="2"/>
        <w:spacing w:line="360" w:lineRule="auto"/>
        <w:rPr>
          <w:color w:val="auto"/>
        </w:rPr>
      </w:pPr>
    </w:p>
    <w:p>
      <w:pPr>
        <w:spacing w:line="360" w:lineRule="auto"/>
        <w:ind w:firstLine="482" w:firstLineChars="200"/>
        <w:rPr>
          <w:rFonts w:ascii="仿宋" w:hAnsi="仿宋" w:eastAsia="仿宋"/>
          <w:b/>
          <w:color w:val="auto"/>
          <w:sz w:val="24"/>
        </w:rPr>
      </w:pPr>
      <w:r>
        <w:rPr>
          <w:rFonts w:hint="eastAsia" w:ascii="仿宋" w:hAnsi="仿宋" w:eastAsia="仿宋" w:cs="仿宋"/>
          <w:b/>
          <w:color w:val="auto"/>
          <w:sz w:val="24"/>
        </w:rPr>
        <w:t>10.谈判</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.1</w:t>
      </w:r>
      <w:r>
        <w:rPr>
          <w:rFonts w:hint="eastAsia" w:ascii="仿宋" w:hAnsi="仿宋" w:eastAsia="仿宋" w:cs="仿宋"/>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.2</w:t>
      </w:r>
      <w:r>
        <w:rPr>
          <w:rFonts w:hint="eastAsia" w:ascii="仿宋" w:hAnsi="仿宋" w:eastAsia="仿宋" w:cs="仿宋"/>
          <w:color w:val="auto"/>
          <w:sz w:val="24"/>
        </w:rPr>
        <w:t>每轮谈判开始前，谈判小组应根据谈判文件的规定，并结合各供应商的响应文件拟定谈判内容。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.3</w:t>
      </w:r>
      <w:r>
        <w:rPr>
          <w:rFonts w:hint="eastAsia" w:ascii="仿宋" w:hAnsi="仿宋" w:eastAsia="仿宋" w:cs="仿宋"/>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.4</w:t>
      </w:r>
      <w:r>
        <w:rPr>
          <w:rFonts w:hint="eastAsia" w:ascii="仿宋" w:hAnsi="仿宋" w:eastAsia="仿宋" w:cs="仿宋"/>
          <w:color w:val="auto"/>
          <w:sz w:val="24"/>
        </w:rPr>
        <w:t>对谈判文件作出的实质性变动是谈判文件的有效组成部分，谈判小组应当及时以书面形式同时通知所有参加谈判的供应商。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.5</w:t>
      </w:r>
      <w:r>
        <w:rPr>
          <w:rFonts w:hint="eastAsia" w:ascii="仿宋" w:hAnsi="仿宋" w:eastAsia="仿宋" w:cs="仿宋"/>
          <w:color w:val="auto"/>
          <w:sz w:val="24"/>
        </w:rPr>
        <w:t>谈判过程中，谈判文件变动的，供应商应当按照谈判文件的变动情况和谈判小组的要求重新提交响应文件，并由其法定代表人（主要负责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pPr>
        <w:widowControl/>
        <w:spacing w:line="360" w:lineRule="auto"/>
        <w:ind w:firstLine="480" w:firstLineChars="200"/>
        <w:jc w:val="left"/>
        <w:rPr>
          <w:color w:val="auto"/>
        </w:rPr>
      </w:pPr>
      <w:r>
        <w:rPr>
          <w:rFonts w:hint="eastAsia" w:ascii="仿宋" w:hAnsi="仿宋" w:eastAsia="仿宋" w:cs="仿宋"/>
          <w:color w:val="auto"/>
          <w:kern w:val="0"/>
          <w:sz w:val="24"/>
        </w:rPr>
        <w:t>（4）</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pPr>
        <w:pStyle w:val="17"/>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pPr>
        <w:spacing w:line="360" w:lineRule="auto"/>
        <w:ind w:firstLine="480" w:firstLineChars="200"/>
        <w:rPr>
          <w:rFonts w:ascii="仿宋" w:hAnsi="仿宋" w:eastAsia="仿宋"/>
          <w:color w:val="auto"/>
          <w:sz w:val="24"/>
        </w:rPr>
      </w:pPr>
      <w:r>
        <w:rPr>
          <w:rFonts w:ascii="仿宋" w:hAnsi="仿宋" w:eastAsia="仿宋" w:cs="仿宋"/>
          <w:color w:val="auto"/>
          <w:sz w:val="24"/>
        </w:rPr>
        <w:t>10.7</w:t>
      </w:r>
      <w:r>
        <w:rPr>
          <w:rFonts w:hint="eastAsia" w:ascii="仿宋" w:hAnsi="仿宋" w:eastAsia="仿宋" w:cs="仿宋"/>
          <w:color w:val="auto"/>
          <w:sz w:val="24"/>
        </w:rPr>
        <w:t>谈判过程中，谈判的任何一方不得透露与谈判有关的其他供应商的技术资料、价格和其他信息。</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10</w:t>
      </w:r>
      <w:r>
        <w:rPr>
          <w:rFonts w:ascii="仿宋" w:hAnsi="仿宋" w:eastAsia="仿宋" w:cs="仿宋"/>
          <w:color w:val="auto"/>
          <w:sz w:val="24"/>
        </w:rPr>
        <w:t>.8</w:t>
      </w:r>
      <w:r>
        <w:rPr>
          <w:rFonts w:hint="eastAsia" w:ascii="仿宋" w:hAnsi="仿宋" w:eastAsia="仿宋" w:cs="仿宋"/>
          <w:color w:val="auto"/>
          <w:sz w:val="24"/>
        </w:rPr>
        <w:t>谈判过程中，谈判小组发现或者知晓供应商存在违法、违纪行为的，谈判小组应当将该供应商响应文件作无效处理，不允许其提交最后报价。</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.9</w:t>
      </w:r>
      <w:r>
        <w:rPr>
          <w:rFonts w:hint="eastAsia" w:ascii="仿宋" w:hAnsi="仿宋" w:eastAsia="仿宋" w:cs="仿宋"/>
          <w:color w:val="auto"/>
          <w:sz w:val="24"/>
        </w:rPr>
        <w:t>谈判完成后，谈判小组应出具谈判情况记录表，谈判情况记录表需包含谈判内容、谈判意见、实质性变动内容等。</w:t>
      </w:r>
    </w:p>
    <w:p>
      <w:pPr>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rPr>
        <w:t>11.报价</w:t>
      </w:r>
    </w:p>
    <w:p>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rPr>
        <w:t>11</w:t>
      </w:r>
      <w:r>
        <w:rPr>
          <w:rFonts w:ascii="仿宋" w:hAnsi="仿宋" w:eastAsia="仿宋" w:cs="仿宋"/>
          <w:color w:val="auto"/>
          <w:sz w:val="24"/>
        </w:rPr>
        <w:t>.1</w:t>
      </w:r>
      <w:r>
        <w:rPr>
          <w:rFonts w:hint="eastAsia" w:ascii="仿宋" w:hAnsi="仿宋" w:eastAsia="仿宋" w:cs="仿宋"/>
          <w:color w:val="auto"/>
          <w:sz w:val="24"/>
        </w:rPr>
        <w:t>除其他响应文件中的首轮报价以外，供应商报价采用现场报价。现场报价前，谈判小组应对供应商其他响应文件中的首轮报价进行评审。</w:t>
      </w:r>
    </w:p>
    <w:p>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pPr>
        <w:pStyle w:val="17"/>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主要负责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12.谈判小组复核</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13.推荐成交候选供应商</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家以上成交候选供应商，并编写评审报告。最后报价相同的，成交候选供应商并列，由采购人随机抽签确定成交供应商。</w:t>
      </w:r>
    </w:p>
    <w:p>
      <w:pPr>
        <w:pStyle w:val="2"/>
        <w:spacing w:line="360" w:lineRule="auto"/>
        <w:rPr>
          <w:color w:val="auto"/>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14.编写评审报告</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谈判小组推荐成交候选供应商后，应向采购代理机构出具评审报告。评审报告应当包括以下主要内容：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spacing w:line="360" w:lineRule="auto"/>
        <w:ind w:firstLine="480" w:firstLineChars="200"/>
        <w:rPr>
          <w:rFonts w:ascii="仿宋" w:hAnsi="仿宋" w:eastAsia="仿宋" w:cs="仿宋"/>
          <w:color w:val="auto"/>
          <w:sz w:val="24"/>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15.谈判异议处理规则</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评审报告中予以反映。</w:t>
      </w:r>
    </w:p>
    <w:p>
      <w:pPr>
        <w:pStyle w:val="2"/>
        <w:spacing w:line="360" w:lineRule="auto"/>
        <w:rPr>
          <w:color w:val="auto"/>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rPr>
        <w:t>16.供应商澄清、说明</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谈判小组要求供应商澄清、说明或者更正响应文件应当以书面形式作出。供应商的澄清、说明或者更正应当由法定代表人（主要负责人）或其授权代表签字（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16.3评审委员会要求供应商澄清、说明或者更正，不得超出谈判竞争性谈判文件的范围，不得以此让供应商实质改变响应文件的内容，不得影响供应商公平竞争。本项目下列内容不得澄清：</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16.4本项目采购过程中，响应文件出现下列情况的，不需要供应商澄清、说明或者更正，按照以下原则处理：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pPr>
        <w:spacing w:line="360" w:lineRule="auto"/>
        <w:ind w:firstLine="482" w:firstLineChars="200"/>
        <w:rPr>
          <w:rFonts w:ascii="仿宋" w:hAnsi="仿宋" w:eastAsia="仿宋" w:cs="仿宋"/>
          <w:b/>
          <w:bCs/>
          <w:color w:val="auto"/>
          <w:sz w:val="24"/>
        </w:rPr>
      </w:pP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17.评审结束后的纠错处理办法</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pPr>
        <w:spacing w:line="360" w:lineRule="auto"/>
        <w:ind w:firstLine="482" w:firstLineChars="200"/>
        <w:rPr>
          <w:rFonts w:ascii="仿宋" w:hAnsi="仿宋" w:eastAsia="仿宋" w:cs="仿宋"/>
          <w:b/>
          <w:bCs/>
          <w:color w:val="auto"/>
          <w:sz w:val="24"/>
        </w:rPr>
      </w:pPr>
    </w:p>
    <w:p>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rPr>
        <w:t>18.终止谈判采购活动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（4）采购人认为继续开展采购活动，将损害国家利益、集体利益或损害其他当事人合法权益的。</w:t>
      </w:r>
    </w:p>
    <w:p>
      <w:pPr>
        <w:tabs>
          <w:tab w:val="left" w:pos="851"/>
        </w:tabs>
        <w:spacing w:beforeLines="10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19.谈判小组内部讨论的情况和意见必须保密，任何人不得以任何形式透露给供应商或与供应商有关的单位或个人。</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rPr>
        <w:t>20.在谈判过程中，供应商不得以任何形式对谈判小组成员进行旨在影响谈判结果的私下接触，否则将取消其参与谈判的资格。</w:t>
      </w:r>
    </w:p>
    <w:p>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rPr>
        <w:t>21.对各供应商的商业秘密，谈判小组成员应予以保密，不得泄露给其他供应商。</w:t>
      </w:r>
    </w:p>
    <w:p>
      <w:pPr>
        <w:tabs>
          <w:tab w:val="left" w:pos="851"/>
        </w:tabs>
        <w:spacing w:line="360" w:lineRule="auto"/>
        <w:ind w:firstLine="480" w:firstLineChars="200"/>
        <w:rPr>
          <w:color w:val="auto"/>
        </w:rPr>
      </w:pPr>
      <w:r>
        <w:rPr>
          <w:rFonts w:hint="eastAsia" w:ascii="仿宋" w:hAnsi="仿宋" w:eastAsia="仿宋" w:cs="仿宋"/>
          <w:color w:val="auto"/>
          <w:sz w:val="24"/>
        </w:rPr>
        <w:t>22.谈判小组独立评判，推荐成交候选人，并写出书面报告。</w:t>
      </w:r>
    </w:p>
    <w:p>
      <w:pPr>
        <w:tabs>
          <w:tab w:val="left" w:pos="7665"/>
        </w:tabs>
        <w:spacing w:beforeLines="10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五、谈判小组在本次采购活动中应当承担的义务</w:t>
      </w: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23.谈判小组应当承担以下义务</w:t>
      </w:r>
    </w:p>
    <w:p>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（1）遵守评审工作纪律；</w:t>
      </w:r>
    </w:p>
    <w:p>
      <w:pPr>
        <w:pStyle w:val="112"/>
        <w:tabs>
          <w:tab w:val="left" w:pos="7665"/>
        </w:tabs>
        <w:spacing w:line="360" w:lineRule="auto"/>
        <w:ind w:firstLine="480"/>
        <w:rPr>
          <w:rFonts w:ascii="仿宋" w:hAnsi="仿宋" w:eastAsia="仿宋"/>
          <w:color w:val="auto"/>
          <w:sz w:val="24"/>
        </w:rPr>
      </w:pPr>
      <w:r>
        <w:rPr>
          <w:rFonts w:hint="eastAsia" w:ascii="仿宋" w:hAnsi="仿宋" w:eastAsia="仿宋" w:cs="仿宋"/>
          <w:color w:val="auto"/>
          <w:sz w:val="24"/>
        </w:rPr>
        <w:t>（2）按照客观、公正、审慎的原则，根据谈判文件规定的评审程序、评审方法和评审标准进行独立评审；</w:t>
      </w:r>
    </w:p>
    <w:p>
      <w:pPr>
        <w:pStyle w:val="112"/>
        <w:tabs>
          <w:tab w:val="left" w:pos="7665"/>
        </w:tabs>
        <w:spacing w:line="360" w:lineRule="auto"/>
        <w:ind w:firstLine="480"/>
        <w:rPr>
          <w:rFonts w:ascii="仿宋" w:hAnsi="仿宋" w:eastAsia="仿宋"/>
          <w:color w:val="auto"/>
          <w:sz w:val="24"/>
        </w:rPr>
      </w:pPr>
      <w:r>
        <w:rPr>
          <w:rFonts w:hint="eastAsia" w:ascii="仿宋" w:hAnsi="仿宋" w:eastAsia="仿宋" w:cs="仿宋"/>
          <w:color w:val="auto"/>
          <w:sz w:val="24"/>
        </w:rPr>
        <w:t>（3）不得泄露评审文件、评审情况和在评审过程中获悉的商业秘密；</w:t>
      </w:r>
    </w:p>
    <w:p>
      <w:pPr>
        <w:pStyle w:val="112"/>
        <w:tabs>
          <w:tab w:val="left" w:pos="7665"/>
        </w:tabs>
        <w:spacing w:line="360" w:lineRule="auto"/>
        <w:ind w:firstLine="480"/>
        <w:rPr>
          <w:rFonts w:ascii="仿宋" w:hAnsi="仿宋" w:eastAsia="仿宋"/>
          <w:color w:val="auto"/>
          <w:sz w:val="24"/>
        </w:rPr>
      </w:pPr>
      <w:r>
        <w:rPr>
          <w:rFonts w:hint="eastAsia" w:ascii="仿宋" w:hAnsi="仿宋" w:eastAsia="仿宋" w:cs="仿宋"/>
          <w:color w:val="auto"/>
          <w:sz w:val="24"/>
        </w:rPr>
        <w:t>（4）及时向采购人、采购代理机构报告供应商行贿、提供虚假材料或者串通等违法行为；</w:t>
      </w:r>
    </w:p>
    <w:p>
      <w:pPr>
        <w:pStyle w:val="112"/>
        <w:tabs>
          <w:tab w:val="left" w:pos="7665"/>
        </w:tabs>
        <w:spacing w:line="360" w:lineRule="auto"/>
        <w:ind w:firstLine="480"/>
        <w:rPr>
          <w:rFonts w:ascii="仿宋" w:hAnsi="仿宋" w:eastAsia="仿宋"/>
          <w:color w:val="auto"/>
          <w:sz w:val="24"/>
        </w:rPr>
      </w:pPr>
      <w:r>
        <w:rPr>
          <w:rFonts w:hint="eastAsia" w:ascii="仿宋" w:hAnsi="仿宋" w:eastAsia="仿宋" w:cs="仿宋"/>
          <w:color w:val="auto"/>
          <w:sz w:val="24"/>
        </w:rPr>
        <w:t>（5）法律、法规和规章规定的其他义务。</w:t>
      </w:r>
    </w:p>
    <w:p>
      <w:pPr>
        <w:tabs>
          <w:tab w:val="left" w:pos="7665"/>
        </w:tabs>
        <w:spacing w:beforeLines="10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六、谈判小组在本次采购活动中应当遵守的工作纪律</w:t>
      </w:r>
    </w:p>
    <w:p>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24.谈判小组在本次采购活动中应当遵守以下工作纪律</w:t>
      </w:r>
    </w:p>
    <w:p>
      <w:pPr>
        <w:pStyle w:val="112"/>
        <w:tabs>
          <w:tab w:val="left" w:pos="7665"/>
        </w:tabs>
        <w:spacing w:line="360" w:lineRule="auto"/>
        <w:ind w:firstLine="480"/>
        <w:rPr>
          <w:rFonts w:ascii="仿宋" w:hAnsi="仿宋" w:eastAsia="仿宋"/>
          <w:color w:val="auto"/>
          <w:sz w:val="24"/>
        </w:rPr>
      </w:pPr>
      <w:r>
        <w:rPr>
          <w:rFonts w:hint="eastAsia" w:ascii="仿宋" w:hAnsi="仿宋" w:eastAsia="仿宋" w:cs="仿宋"/>
          <w:color w:val="auto"/>
          <w:sz w:val="24"/>
        </w:rPr>
        <w:t>（1）不得参加与自己有利害关系的采购项目的评审活动。发现参加了与自己有利害关系的评审活动，须主动提出回避，退出评审；</w:t>
      </w:r>
    </w:p>
    <w:p>
      <w:pPr>
        <w:pStyle w:val="112"/>
        <w:tabs>
          <w:tab w:val="left" w:pos="7665"/>
        </w:tabs>
        <w:spacing w:line="360" w:lineRule="auto"/>
        <w:ind w:firstLine="480"/>
        <w:rPr>
          <w:rFonts w:ascii="仿宋" w:hAnsi="仿宋" w:eastAsia="仿宋" w:cs="仿宋"/>
          <w:color w:val="auto"/>
          <w:sz w:val="24"/>
        </w:rPr>
      </w:pPr>
      <w:r>
        <w:rPr>
          <w:rFonts w:hint="eastAsia" w:ascii="仿宋" w:hAnsi="仿宋" w:eastAsia="仿宋" w:cs="仿宋"/>
          <w:color w:val="auto"/>
          <w:sz w:val="24"/>
        </w:rPr>
        <w:t>（2）评审前，应当将通讯工具或者相关电子设备交由采购代理机构统一保</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（3）评审过程中，不得与外界联系，因发生不可预见情况，确实需要与外</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（4）评审过程中，不得发表影响评审公正的倾向性、歧视性言论，不得征</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（5）在评审过程中和评审结束后，不得记录、复制或带走任何评审资料，</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（6）评审现场服从采购代理机构工作人员的管理，接受现场监督人员的合</w:t>
      </w:r>
    </w:p>
    <w:p>
      <w:pPr>
        <w:pStyle w:val="112"/>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（7）遵守有关廉洁自律规定，不得私下接触供应商，不得收受供应商及有</w:t>
      </w:r>
    </w:p>
    <w:p>
      <w:pPr>
        <w:pStyle w:val="112"/>
        <w:tabs>
          <w:tab w:val="left" w:pos="7665"/>
        </w:tabs>
        <w:spacing w:line="360" w:lineRule="auto"/>
        <w:ind w:firstLine="0" w:firstLineChars="0"/>
        <w:rPr>
          <w:rFonts w:ascii="仿宋" w:hAnsi="仿宋" w:eastAsia="仿宋" w:cs="仿宋"/>
          <w:color w:val="auto"/>
          <w:sz w:val="24"/>
        </w:rPr>
        <w:sectPr>
          <w:pgSz w:w="11906" w:h="16838"/>
          <w:pgMar w:top="1134" w:right="1755" w:bottom="1134" w:left="1531" w:header="851" w:footer="850" w:gutter="0"/>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29" w:name="_Toc2688"/>
      <w:bookmarkStart w:id="130" w:name="_Toc27128"/>
      <w:bookmarkStart w:id="131" w:name="_Toc3219"/>
      <w:bookmarkStart w:id="132" w:name="_Toc19182"/>
      <w:bookmarkStart w:id="133" w:name="_Toc31949"/>
      <w:bookmarkStart w:id="134" w:name="_Toc4895"/>
      <w:r>
        <w:rPr>
          <w:rFonts w:hint="eastAsia" w:ascii="仿宋" w:hAnsi="仿宋" w:eastAsia="仿宋" w:cs="仿宋"/>
          <w:color w:val="auto"/>
          <w:sz w:val="24"/>
        </w:rPr>
        <w:t>。</w:t>
      </w:r>
    </w:p>
    <w:p>
      <w:pPr>
        <w:pStyle w:val="112"/>
        <w:tabs>
          <w:tab w:val="left" w:pos="7665"/>
        </w:tabs>
        <w:spacing w:line="360" w:lineRule="auto"/>
        <w:ind w:firstLine="0" w:firstLineChars="0"/>
        <w:jc w:val="center"/>
        <w:outlineLvl w:val="0"/>
        <w:rPr>
          <w:rFonts w:ascii="仿宋" w:hAnsi="仿宋" w:eastAsia="仿宋" w:cs="仿宋"/>
          <w:color w:val="auto"/>
          <w:sz w:val="36"/>
          <w:szCs w:val="36"/>
        </w:rPr>
      </w:pPr>
      <w:r>
        <w:rPr>
          <w:rStyle w:val="73"/>
          <w:rFonts w:hint="eastAsia" w:ascii="仿宋" w:hAnsi="仿宋" w:eastAsia="仿宋" w:cs="仿宋"/>
          <w:color w:val="auto"/>
          <w:sz w:val="36"/>
          <w:szCs w:val="36"/>
        </w:rPr>
        <w:t>第九章 采购合同（服务类）</w:t>
      </w:r>
      <w:bookmarkEnd w:id="129"/>
      <w:bookmarkEnd w:id="130"/>
      <w:bookmarkEnd w:id="131"/>
      <w:bookmarkEnd w:id="132"/>
      <w:bookmarkEnd w:id="133"/>
      <w:bookmarkEnd w:id="134"/>
      <w:bookmarkStart w:id="135" w:name="_Hlt101846155"/>
      <w:bookmarkEnd w:id="135"/>
    </w:p>
    <w:p>
      <w:pPr>
        <w:spacing w:line="360" w:lineRule="auto"/>
        <w:ind w:firstLine="480" w:firstLineChars="200"/>
        <w:rPr>
          <w:rFonts w:hint="eastAsia" w:ascii="仿宋" w:eastAsia="仿宋" w:cs="仿宋"/>
          <w:color w:val="auto"/>
          <w:sz w:val="24"/>
        </w:rPr>
      </w:pPr>
      <w:bookmarkStart w:id="136" w:name="_Toc18227"/>
      <w:bookmarkStart w:id="137" w:name="_Toc20043"/>
      <w:bookmarkStart w:id="138" w:name="_Toc11954"/>
      <w:bookmarkStart w:id="139" w:name="_Toc28018"/>
      <w:r>
        <w:rPr>
          <w:rFonts w:hint="eastAsia" w:ascii="仿宋" w:eastAsia="仿宋" w:cs="仿宋"/>
          <w:color w:val="auto"/>
          <w:sz w:val="24"/>
        </w:rPr>
        <w:t>政府采购合同编号：</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履约地点：</w:t>
      </w:r>
      <w:r>
        <w:rPr>
          <w:rFonts w:hint="eastAsia" w:ascii="仿宋" w:eastAsia="仿宋" w:cs="仿宋"/>
          <w:color w:val="auto"/>
          <w:sz w:val="24"/>
          <w:lang w:val="en-US" w:eastAsia="zh-CN"/>
        </w:rPr>
        <w:t>富顺县中医医院</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签订日期：</w:t>
      </w:r>
      <w:r>
        <w:rPr>
          <w:rFonts w:hint="eastAsia" w:ascii="仿宋" w:eastAsia="仿宋" w:cs="仿宋"/>
          <w:color w:val="auto"/>
          <w:sz w:val="24"/>
          <w:lang w:val="en-US" w:eastAsia="zh-CN"/>
        </w:rPr>
        <w:t xml:space="preserve">    </w:t>
      </w:r>
      <w:r>
        <w:rPr>
          <w:rFonts w:hint="eastAsia" w:ascii="仿宋" w:eastAsia="仿宋" w:cs="仿宋"/>
          <w:color w:val="auto"/>
          <w:sz w:val="24"/>
        </w:rPr>
        <w:t>年</w:t>
      </w:r>
      <w:r>
        <w:rPr>
          <w:rFonts w:hint="eastAsia" w:ascii="仿宋" w:eastAsia="仿宋" w:cs="仿宋"/>
          <w:color w:val="auto"/>
          <w:sz w:val="24"/>
          <w:lang w:val="en-US" w:eastAsia="zh-CN"/>
        </w:rPr>
        <w:t xml:space="preserve">     </w:t>
      </w:r>
      <w:r>
        <w:rPr>
          <w:rFonts w:hint="eastAsia" w:ascii="仿宋" w:eastAsia="仿宋" w:cs="仿宋"/>
          <w:color w:val="auto"/>
          <w:sz w:val="24"/>
        </w:rPr>
        <w:t>月</w:t>
      </w:r>
      <w:r>
        <w:rPr>
          <w:rFonts w:hint="eastAsia" w:ascii="仿宋" w:eastAsia="仿宋" w:cs="仿宋"/>
          <w:color w:val="auto"/>
          <w:sz w:val="24"/>
          <w:lang w:val="en-US" w:eastAsia="zh-CN"/>
        </w:rPr>
        <w:t xml:space="preserve">    </w:t>
      </w:r>
      <w:r>
        <w:rPr>
          <w:rFonts w:hint="eastAsia" w:ascii="仿宋" w:eastAsia="仿宋" w:cs="仿宋"/>
          <w:color w:val="auto"/>
          <w:sz w:val="24"/>
        </w:rPr>
        <w:t>日</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签订地点：</w:t>
      </w:r>
      <w:r>
        <w:rPr>
          <w:rFonts w:hint="eastAsia" w:ascii="仿宋" w:eastAsia="仿宋" w:cs="仿宋"/>
          <w:color w:val="auto"/>
          <w:sz w:val="24"/>
          <w:lang w:val="en-US" w:eastAsia="zh-CN"/>
        </w:rPr>
        <w:t>富顺县中医医院</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采购人（甲方）：</w:t>
      </w:r>
      <w:r>
        <w:rPr>
          <w:rFonts w:hint="eastAsia" w:ascii="仿宋" w:eastAsia="仿宋" w:cs="仿宋"/>
          <w:color w:val="auto"/>
          <w:sz w:val="24"/>
          <w:lang w:val="en-US" w:eastAsia="zh-CN"/>
        </w:rPr>
        <w:t>富顺县中医医院</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地址：</w:t>
      </w:r>
      <w:r>
        <w:rPr>
          <w:rFonts w:hint="eastAsia" w:ascii="仿宋" w:eastAsia="仿宋" w:cs="仿宋"/>
          <w:color w:val="auto"/>
          <w:sz w:val="24"/>
          <w:lang w:val="en-US" w:eastAsia="zh-CN"/>
        </w:rPr>
        <w:t xml:space="preserve"> 富顺县东湖大道1801号    </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供应商(乙方)：</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rPr>
        <w:t>地址：</w:t>
      </w:r>
    </w:p>
    <w:p>
      <w:pPr>
        <w:spacing w:line="360" w:lineRule="auto"/>
        <w:ind w:firstLine="480" w:firstLineChars="200"/>
        <w:rPr>
          <w:rFonts w:hint="eastAsia" w:ascii="仿宋" w:eastAsia="仿宋" w:cs="仿宋"/>
          <w:color w:val="auto"/>
          <w:sz w:val="24"/>
          <w:lang w:eastAsia="zh-CN"/>
        </w:rPr>
      </w:pPr>
      <w:r>
        <w:rPr>
          <w:rFonts w:hint="eastAsia" w:ascii="仿宋" w:eastAsia="仿宋" w:cs="仿宋"/>
          <w:color w:val="auto"/>
          <w:sz w:val="24"/>
        </w:rPr>
        <w:t>依据《中华人民共和国民法典》《中华人民共和国政府采购法》与项目行业有关的法律法规，以及</w:t>
      </w:r>
      <w:r>
        <w:rPr>
          <w:rFonts w:hint="eastAsia" w:ascii="仿宋" w:eastAsia="仿宋" w:cs="仿宋"/>
          <w:color w:val="auto"/>
          <w:sz w:val="24"/>
          <w:lang w:eastAsia="zh-CN"/>
        </w:rPr>
        <w:t>富顺县中医医院</w:t>
      </w:r>
      <w:r>
        <w:rPr>
          <w:rFonts w:hint="eastAsia" w:ascii="仿宋" w:eastAsia="仿宋" w:cs="仿宋"/>
          <w:color w:val="auto"/>
          <w:sz w:val="24"/>
          <w:u w:val="single"/>
          <w:lang w:val="en-US" w:eastAsia="zh-CN"/>
        </w:rPr>
        <w:t xml:space="preserve">                   </w:t>
      </w:r>
      <w:r>
        <w:rPr>
          <w:rFonts w:hint="eastAsia" w:ascii="仿宋" w:eastAsia="仿宋" w:cs="仿宋"/>
          <w:color w:val="auto"/>
          <w:sz w:val="24"/>
        </w:rPr>
        <w:t>采购项目</w:t>
      </w:r>
      <w:r>
        <w:rPr>
          <w:rFonts w:hint="eastAsia" w:ascii="仿宋" w:eastAsia="仿宋" w:cs="仿宋"/>
          <w:color w:val="auto"/>
          <w:sz w:val="24"/>
          <w:lang w:eastAsia="zh-CN"/>
        </w:rPr>
        <w:t>（项目编号：</w:t>
      </w:r>
      <w:r>
        <w:rPr>
          <w:rFonts w:hint="eastAsia" w:ascii="仿宋" w:eastAsia="仿宋" w:cs="仿宋"/>
          <w:color w:val="auto"/>
          <w:sz w:val="24"/>
          <w:u w:val="single"/>
          <w:lang w:val="en-US" w:eastAsia="zh-CN"/>
        </w:rPr>
        <w:t xml:space="preserve">              </w:t>
      </w:r>
      <w:r>
        <w:rPr>
          <w:rFonts w:hint="eastAsia" w:ascii="仿宋" w:eastAsia="仿宋" w:cs="仿宋"/>
          <w:color w:val="auto"/>
          <w:sz w:val="24"/>
          <w:lang w:eastAsia="zh-CN"/>
        </w:rPr>
        <w:t>）</w:t>
      </w:r>
      <w:r>
        <w:rPr>
          <w:rFonts w:hint="eastAsia" w:ascii="仿宋" w:eastAsia="仿宋" w:cs="仿宋"/>
          <w:color w:val="auto"/>
          <w:sz w:val="24"/>
        </w:rPr>
        <w:t>的《</w:t>
      </w:r>
      <w:r>
        <w:rPr>
          <w:rFonts w:hint="eastAsia" w:ascii="仿宋" w:eastAsia="仿宋" w:cs="仿宋"/>
          <w:color w:val="auto"/>
          <w:sz w:val="24"/>
          <w:lang w:eastAsia="zh-CN"/>
        </w:rPr>
        <w:t>采购</w:t>
      </w:r>
      <w:r>
        <w:rPr>
          <w:rFonts w:hint="eastAsia" w:ascii="仿宋" w:eastAsia="仿宋" w:cs="仿宋"/>
          <w:color w:val="auto"/>
          <w:sz w:val="24"/>
        </w:rPr>
        <w:t>文件》，乙方的《投标（响应）文件》及《中标（成交）通知书》，甲乙双方同意签订本合同。同附件及本项目的招标文件、投标文件、《中标通知书》等均为本合同不可分割的部分。具体情况及要求如下</w:t>
      </w:r>
      <w:r>
        <w:rPr>
          <w:rFonts w:hint="eastAsia" w:ascii="仿宋" w:eastAsia="仿宋" w:cs="仿宋"/>
          <w:color w:val="auto"/>
          <w:sz w:val="24"/>
          <w:lang w:eastAsia="zh-CN"/>
        </w:rPr>
        <w:t>：</w:t>
      </w:r>
    </w:p>
    <w:p>
      <w:pPr>
        <w:spacing w:line="360" w:lineRule="auto"/>
        <w:ind w:firstLine="482" w:firstLineChars="200"/>
        <w:rPr>
          <w:rFonts w:hint="eastAsia" w:ascii="仿宋" w:eastAsia="仿宋" w:cs="仿宋"/>
          <w:b/>
          <w:bCs/>
          <w:color w:val="auto"/>
          <w:sz w:val="24"/>
        </w:rPr>
      </w:pPr>
      <w:r>
        <w:rPr>
          <w:rFonts w:hint="eastAsia" w:ascii="仿宋" w:eastAsia="仿宋" w:cs="仿宋"/>
          <w:b/>
          <w:bCs/>
          <w:color w:val="auto"/>
          <w:sz w:val="24"/>
          <w:lang w:eastAsia="zh-CN"/>
        </w:rPr>
        <w:t>一、项目情况</w:t>
      </w:r>
    </w:p>
    <w:p>
      <w:pPr>
        <w:spacing w:line="360" w:lineRule="auto"/>
        <w:ind w:firstLine="480" w:firstLineChars="200"/>
        <w:rPr>
          <w:rFonts w:hint="eastAsia" w:ascii="仿宋" w:eastAsia="仿宋" w:cs="仿宋"/>
          <w:color w:val="auto"/>
          <w:sz w:val="24"/>
          <w:lang w:eastAsia="zh-CN"/>
        </w:rPr>
      </w:pPr>
      <w:r>
        <w:rPr>
          <w:rFonts w:hint="eastAsia" w:ascii="仿宋" w:eastAsia="仿宋" w:cs="仿宋"/>
          <w:color w:val="auto"/>
          <w:sz w:val="24"/>
          <w:lang w:eastAsia="zh-CN"/>
        </w:rPr>
        <w:t>本项目为</w:t>
      </w:r>
      <w:r>
        <w:rPr>
          <w:rFonts w:hint="eastAsia" w:ascii="仿宋" w:eastAsia="仿宋" w:cs="仿宋"/>
          <w:color w:val="auto"/>
          <w:sz w:val="24"/>
        </w:rPr>
        <w:t>富顺县中医医院</w:t>
      </w:r>
      <w:r>
        <w:rPr>
          <w:rFonts w:hint="eastAsia" w:ascii="仿宋" w:eastAsia="仿宋" w:cs="仿宋"/>
          <w:color w:val="auto"/>
          <w:sz w:val="24"/>
          <w:u w:val="single"/>
          <w:lang w:val="en-US" w:eastAsia="zh-CN"/>
        </w:rPr>
        <w:t xml:space="preserve">                         </w:t>
      </w:r>
      <w:r>
        <w:rPr>
          <w:rFonts w:hint="eastAsia" w:ascii="仿宋" w:eastAsia="仿宋" w:cs="仿宋"/>
          <w:color w:val="auto"/>
          <w:sz w:val="24"/>
        </w:rPr>
        <w:t>采购项目</w:t>
      </w:r>
      <w:r>
        <w:rPr>
          <w:rFonts w:hint="eastAsia" w:ascii="仿宋" w:eastAsia="仿宋" w:cs="仿宋"/>
          <w:color w:val="auto"/>
          <w:sz w:val="24"/>
          <w:lang w:val="en-US" w:eastAsia="zh-CN"/>
        </w:rPr>
        <w:t xml:space="preserve"> </w:t>
      </w:r>
      <w:r>
        <w:rPr>
          <w:rFonts w:hint="eastAsia" w:ascii="仿宋" w:eastAsia="仿宋" w:cs="仿宋"/>
          <w:color w:val="auto"/>
          <w:sz w:val="24"/>
          <w:lang w:eastAsia="zh-CN"/>
        </w:rPr>
        <w:t>，项目成交金额</w:t>
      </w:r>
      <w:r>
        <w:rPr>
          <w:rFonts w:hint="eastAsia" w:ascii="仿宋" w:eastAsia="仿宋" w:cs="仿宋"/>
          <w:color w:val="auto"/>
          <w:sz w:val="24"/>
          <w:u w:val="single"/>
          <w:lang w:val="en-US" w:eastAsia="zh-CN"/>
        </w:rPr>
        <w:t xml:space="preserve">      </w:t>
      </w:r>
      <w:r>
        <w:rPr>
          <w:rFonts w:hint="eastAsia" w:ascii="仿宋" w:eastAsia="仿宋" w:cs="仿宋"/>
          <w:color w:val="auto"/>
          <w:sz w:val="24"/>
          <w:lang w:eastAsia="zh-CN"/>
        </w:rPr>
        <w:t>元，大写</w:t>
      </w:r>
      <w:r>
        <w:rPr>
          <w:rFonts w:hint="eastAsia" w:ascii="仿宋" w:eastAsia="仿宋" w:cs="仿宋"/>
          <w:color w:val="auto"/>
          <w:sz w:val="24"/>
          <w:u w:val="single"/>
          <w:lang w:val="en-US" w:eastAsia="zh-CN"/>
        </w:rPr>
        <w:t xml:space="preserve">              </w:t>
      </w:r>
      <w:r>
        <w:rPr>
          <w:rFonts w:hint="eastAsia" w:ascii="仿宋" w:eastAsia="仿宋" w:cs="仿宋"/>
          <w:color w:val="auto"/>
          <w:sz w:val="24"/>
          <w:lang w:eastAsia="zh-CN"/>
        </w:rPr>
        <w:t>元整。</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 xml:space="preserve">    合同期限：自合同签订之日起1年。</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 xml:space="preserve">    服务地点：富顺县中医医院指定地点。</w:t>
      </w:r>
    </w:p>
    <w:p>
      <w:pPr>
        <w:spacing w:line="360" w:lineRule="auto"/>
        <w:ind w:firstLine="482" w:firstLineChars="200"/>
        <w:rPr>
          <w:rFonts w:hint="eastAsia" w:ascii="仿宋" w:eastAsia="仿宋" w:cs="仿宋"/>
          <w:color w:val="auto"/>
          <w:sz w:val="24"/>
          <w:lang w:eastAsia="zh-CN"/>
        </w:rPr>
      </w:pPr>
      <w:r>
        <w:rPr>
          <w:rFonts w:hint="eastAsia" w:ascii="仿宋" w:eastAsia="仿宋" w:cs="仿宋"/>
          <w:b/>
          <w:bCs/>
          <w:color w:val="auto"/>
          <w:sz w:val="24"/>
        </w:rPr>
        <w:t>二、服务要求</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u w:val="single"/>
        </w:rPr>
        <w:t>三、合同定价方式、付款进度和支付方式</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合同签订生效后，采购人收到有效票据10个工作日内支付合同总金额的</w:t>
      </w:r>
      <w:r>
        <w:rPr>
          <w:rFonts w:hint="eastAsia" w:ascii="仿宋" w:eastAsia="仿宋" w:cs="仿宋"/>
          <w:color w:val="auto"/>
          <w:sz w:val="24"/>
          <w:u w:val="single"/>
          <w:lang w:val="en-US" w:eastAsia="zh-CN"/>
        </w:rPr>
        <w:t xml:space="preserve">    </w:t>
      </w:r>
      <w:r>
        <w:rPr>
          <w:rFonts w:hint="eastAsia" w:ascii="仿宋" w:eastAsia="仿宋" w:cs="仿宋"/>
          <w:color w:val="auto"/>
          <w:sz w:val="24"/>
        </w:rPr>
        <w:t>%作为预付款（￥</w:t>
      </w:r>
      <w:r>
        <w:rPr>
          <w:rFonts w:hint="eastAsia" w:ascii="仿宋" w:eastAsia="仿宋" w:cs="仿宋"/>
          <w:color w:val="auto"/>
          <w:sz w:val="24"/>
          <w:u w:val="single"/>
          <w:lang w:val="en-US" w:eastAsia="zh-CN"/>
        </w:rPr>
        <w:t xml:space="preserve">   </w:t>
      </w:r>
      <w:r>
        <w:rPr>
          <w:rFonts w:hint="eastAsia" w:ascii="仿宋" w:eastAsia="仿宋" w:cs="仿宋"/>
          <w:color w:val="auto"/>
          <w:sz w:val="24"/>
          <w:u w:val="single"/>
        </w:rPr>
        <w:t xml:space="preserve"> </w:t>
      </w:r>
      <w:r>
        <w:rPr>
          <w:rFonts w:hint="eastAsia" w:ascii="仿宋" w:eastAsia="仿宋" w:cs="仿宋"/>
          <w:color w:val="auto"/>
          <w:sz w:val="24"/>
        </w:rPr>
        <w:t>元，大写：</w:t>
      </w:r>
      <w:r>
        <w:rPr>
          <w:rFonts w:hint="eastAsia" w:ascii="仿宋" w:eastAsia="仿宋" w:cs="仿宋"/>
          <w:color w:val="auto"/>
          <w:sz w:val="24"/>
          <w:u w:val="single"/>
          <w:lang w:val="en-US" w:eastAsia="zh-CN"/>
        </w:rPr>
        <w:t xml:space="preserve">     </w:t>
      </w:r>
      <w:r>
        <w:rPr>
          <w:rFonts w:hint="eastAsia" w:ascii="仿宋" w:eastAsia="仿宋" w:cs="仿宋"/>
          <w:color w:val="auto"/>
          <w:sz w:val="24"/>
        </w:rPr>
        <w:t>元整）；剩余部分货款根据按月实际用量结算，次月收到发票及相关凭证后30日内，支付上月结算货款。</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结算方式：</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以采购人实际需求按实际成交价结算。付款前，乙方须向甲方出具合法有效完整的发票及凭证资料后进行支付结算，付款方式均采用公对公的银行转账，甲方接受转账的开户信息以合同载明的为准。如因乙方未及时按照要求提供合法有效的发票导致逾期付款的，不视为甲方违约，甲方不承担任何责任。</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rPr>
        <w:t>本项目报价包含人员费用(含员工基本工资、绩效考核、社会保险费、福利费、法定假日加班费、服装费)、通讯费、低值易耗品费、固定资产折旧费(项目用电脑、对讲机、工具设备等)、人员培训费、管理费、合理利润、风险费、法定税费等与本项目相关的所有费用。</w:t>
      </w:r>
    </w:p>
    <w:p>
      <w:pPr>
        <w:spacing w:line="360" w:lineRule="auto"/>
        <w:ind w:firstLine="482" w:firstLineChars="200"/>
        <w:rPr>
          <w:rFonts w:hint="eastAsia" w:ascii="仿宋" w:eastAsia="仿宋" w:cs="仿宋"/>
          <w:color w:val="auto"/>
          <w:sz w:val="24"/>
          <w:lang w:eastAsia="zh-CN"/>
        </w:rPr>
      </w:pPr>
      <w:r>
        <w:rPr>
          <w:rFonts w:hint="eastAsia" w:ascii="仿宋" w:eastAsia="仿宋" w:cs="仿宋"/>
          <w:b/>
          <w:bCs/>
          <w:color w:val="auto"/>
          <w:sz w:val="24"/>
        </w:rPr>
        <w:t>四、履约保证金</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eastAsia="zh-CN"/>
        </w:rPr>
        <w:t>无</w:t>
      </w:r>
      <w:bookmarkStart w:id="143" w:name="_GoBack"/>
      <w:bookmarkEnd w:id="143"/>
    </w:p>
    <w:p>
      <w:pPr>
        <w:spacing w:line="360" w:lineRule="auto"/>
        <w:ind w:firstLine="482" w:firstLineChars="200"/>
        <w:rPr>
          <w:rFonts w:hint="eastAsia" w:ascii="仿宋" w:eastAsia="仿宋" w:cs="仿宋"/>
          <w:color w:val="auto"/>
          <w:sz w:val="24"/>
          <w:lang w:eastAsia="zh-CN"/>
        </w:rPr>
      </w:pPr>
      <w:r>
        <w:rPr>
          <w:rFonts w:hint="eastAsia" w:ascii="仿宋" w:eastAsia="仿宋" w:cs="仿宋"/>
          <w:b/>
          <w:bCs/>
          <w:color w:val="auto"/>
          <w:sz w:val="24"/>
        </w:rPr>
        <w:t>五、验收标准和方法</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严格按照《关于进一步加强政府采购需求和履约验收管理的指导意见》(财库(2016) 205号)</w:t>
      </w:r>
      <w:r>
        <w:rPr>
          <w:rFonts w:hint="eastAsia" w:ascii="仿宋" w:eastAsia="仿宋" w:cs="仿宋"/>
          <w:color w:val="auto"/>
          <w:sz w:val="24"/>
          <w:lang w:eastAsia="zh-CN"/>
        </w:rPr>
        <w:t>、本项目的招标文件、成交人的响应文件</w:t>
      </w:r>
      <w:r>
        <w:rPr>
          <w:rFonts w:hint="eastAsia" w:ascii="仿宋" w:eastAsia="仿宋" w:cs="仿宋"/>
          <w:color w:val="auto"/>
          <w:sz w:val="24"/>
        </w:rPr>
        <w:t>的要求进行验收。</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六、甲方的权利和义务</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1.甲方有权对合同规定范围内乙方的服务行为进行监督和检查，拥有监管权。有权定期核对乙方提供服务所配备的人员数量。对甲方认为不合理的部分</w:t>
      </w:r>
      <w:r>
        <w:rPr>
          <w:rFonts w:hint="eastAsia" w:ascii="仿宋" w:eastAsia="仿宋" w:cs="仿宋"/>
          <w:color w:val="auto"/>
          <w:sz w:val="24"/>
          <w:lang w:eastAsia="zh-CN"/>
        </w:rPr>
        <w:t>有权下达整改通知书，并要求乙方限期整改</w:t>
      </w:r>
      <w:r>
        <w:rPr>
          <w:rFonts w:hint="eastAsia" w:ascii="仿宋" w:eastAsia="仿宋" w:cs="仿宋"/>
          <w:color w:val="auto"/>
          <w:sz w:val="24"/>
        </w:rPr>
        <w:t>。</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2.根据本合同规定，按时向乙方支付应付服务费用。</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3.退货要求:如采购人在验收时发现广告宣传出现质量不合格、不符合环保标准或与采购人要求的材质、设计、颜色、尺寸有异等问题，成交供应商必须无条件更换有问题的广告物料，重新制作、安装等费用由供应商承担。</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4.</w:t>
      </w:r>
      <w:r>
        <w:rPr>
          <w:rFonts w:hint="eastAsia" w:ascii="仿宋" w:eastAsia="仿宋" w:cs="仿宋"/>
          <w:color w:val="auto"/>
          <w:sz w:val="24"/>
        </w:rPr>
        <w:t>国家法律、法规所规定由甲方承担的其它责任。</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七、乙方的权利和义务</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1.根据本合同的约定向甲方收取相关服务费用。</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2.接受项目行业管理部门及政府有关部门的指导，接受甲方的监督</w:t>
      </w:r>
      <w:r>
        <w:rPr>
          <w:rFonts w:hint="eastAsia" w:ascii="仿宋" w:eastAsia="仿宋" w:cs="仿宋"/>
          <w:color w:val="auto"/>
          <w:sz w:val="24"/>
          <w:lang w:eastAsia="zh-CN"/>
        </w:rPr>
        <w:t>；及时向甲方通告服务范围内有关服务的重大事项，协助配合处理相关检查、质疑投诉</w:t>
      </w:r>
      <w:r>
        <w:rPr>
          <w:rFonts w:hint="eastAsia" w:ascii="仿宋" w:eastAsia="仿宋" w:cs="仿宋"/>
          <w:color w:val="auto"/>
          <w:sz w:val="24"/>
        </w:rPr>
        <w:t>。</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3.在本项目为采购人提供服务(包括但不限于安装、维护、送货)的过程中，供应商做好安全施工保障，服务期间所发生的所有安全事故均由供应商自行承担全部责任。</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4</w:t>
      </w:r>
      <w:r>
        <w:rPr>
          <w:rFonts w:hint="eastAsia" w:ascii="仿宋" w:eastAsia="仿宋" w:cs="仿宋"/>
          <w:color w:val="auto"/>
          <w:sz w:val="24"/>
        </w:rPr>
        <w:t>.国家法律、法规所规定由乙方承担的其它责任。</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八、违约责任</w:t>
      </w:r>
    </w:p>
    <w:p>
      <w:pPr>
        <w:spacing w:line="360" w:lineRule="auto"/>
        <w:ind w:firstLine="480" w:firstLineChars="200"/>
        <w:rPr>
          <w:rFonts w:hint="eastAsia" w:ascii="仿宋" w:eastAsia="仿宋" w:cs="仿宋"/>
          <w:color w:val="auto"/>
          <w:sz w:val="24"/>
          <w:lang w:eastAsia="zh-CN"/>
        </w:rPr>
      </w:pPr>
      <w:r>
        <w:rPr>
          <w:rFonts w:hint="eastAsia" w:ascii="仿宋" w:eastAsia="仿宋" w:cs="仿宋"/>
          <w:color w:val="auto"/>
          <w:sz w:val="24"/>
        </w:rPr>
        <w:t>1.若甲方未按照合同约定逾期向乙方支付费用，每逾期一天，按应支付金额的</w:t>
      </w:r>
      <w:r>
        <w:rPr>
          <w:rFonts w:hint="eastAsia" w:ascii="仿宋" w:eastAsia="仿宋" w:cs="仿宋"/>
          <w:color w:val="auto"/>
          <w:sz w:val="24"/>
          <w:lang w:val="en-US" w:eastAsia="zh-CN"/>
        </w:rPr>
        <w:t xml:space="preserve">   </w:t>
      </w:r>
      <w:r>
        <w:rPr>
          <w:rFonts w:hint="eastAsia" w:ascii="仿宋" w:eastAsia="仿宋" w:cs="仿宋"/>
          <w:color w:val="auto"/>
          <w:sz w:val="24"/>
        </w:rPr>
        <w:t>‰作为违约金支付给乙方，直至实际支付之日</w:t>
      </w:r>
      <w:r>
        <w:rPr>
          <w:rFonts w:hint="eastAsia" w:ascii="仿宋" w:eastAsia="仿宋" w:cs="仿宋"/>
          <w:color w:val="auto"/>
          <w:sz w:val="24"/>
          <w:lang w:eastAsia="zh-CN"/>
        </w:rPr>
        <w:t>。</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2.因甲方原因导致变更、中止或者终止政府采购合同的，应对乙方受到的损失予以赔偿或者补偿。</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九、不可抗事件处理</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1.在合同有效期内，任何一方因战争、洪灾、台风、地震等不可抗力事件导致不能履行合同，则合同履行期可延长，其延长期与不可抗力事件影响期相同。</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2.受阻一方应在不可抗力事件发生后尽快用电话通知对方并于事故发生后</w:t>
      </w:r>
      <w:r>
        <w:rPr>
          <w:rFonts w:hint="eastAsia" w:ascii="仿宋" w:eastAsia="仿宋" w:cs="仿宋"/>
          <w:color w:val="auto"/>
          <w:sz w:val="24"/>
          <w:lang w:val="en-US" w:eastAsia="zh-CN"/>
        </w:rPr>
        <w:t xml:space="preserve">  </w:t>
      </w:r>
      <w:r>
        <w:rPr>
          <w:rFonts w:hint="eastAsia" w:ascii="仿宋" w:eastAsia="仿宋" w:cs="仿宋"/>
          <w:color w:val="auto"/>
          <w:sz w:val="24"/>
        </w:rPr>
        <w:t>天内将有关部门出具的证明文件等用特快专递或挂号信寄给对方审阅确认。</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3.不可抗力事件延续</w:t>
      </w:r>
      <w:r>
        <w:rPr>
          <w:rFonts w:hint="eastAsia" w:ascii="仿宋" w:eastAsia="仿宋" w:cs="仿宋"/>
          <w:color w:val="auto"/>
          <w:sz w:val="24"/>
          <w:u w:val="single"/>
          <w:lang w:val="en-US" w:eastAsia="zh-CN"/>
        </w:rPr>
        <w:t xml:space="preserve">   </w:t>
      </w:r>
      <w:r>
        <w:rPr>
          <w:rFonts w:hint="eastAsia" w:ascii="仿宋" w:eastAsia="仿宋" w:cs="仿宋"/>
          <w:color w:val="auto"/>
          <w:sz w:val="24"/>
        </w:rPr>
        <w:t>天以上，双方应通过友好协商，确定是否继续履行合同</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十、解决合同纠纷的方式</w:t>
      </w:r>
    </w:p>
    <w:p>
      <w:pPr>
        <w:spacing w:line="360" w:lineRule="auto"/>
        <w:ind w:firstLine="480" w:firstLineChars="200"/>
        <w:rPr>
          <w:rFonts w:hint="eastAsia" w:ascii="仿宋" w:eastAsia="仿宋" w:cs="仿宋"/>
          <w:color w:val="auto"/>
          <w:sz w:val="24"/>
          <w:lang w:val="en-US" w:eastAsia="zh-CN"/>
        </w:rPr>
      </w:pPr>
      <w:r>
        <w:rPr>
          <w:rFonts w:hint="eastAsia" w:ascii="仿宋" w:eastAsia="仿宋" w:cs="仿宋"/>
          <w:color w:val="auto"/>
          <w:sz w:val="24"/>
          <w:lang w:val="en-US" w:eastAsia="zh-CN"/>
        </w:rPr>
        <w:t>1.因服务的质量问题发生争议，由甲方或其指定的第三方机构进行质量鉴定。符合标准的，鉴定费由甲方承担；不符合质量标准的，鉴定费由乙方承担。</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2.</w:t>
      </w:r>
      <w:r>
        <w:rPr>
          <w:rFonts w:hint="eastAsia" w:ascii="仿宋" w:eastAsia="仿宋" w:cs="仿宋"/>
          <w:color w:val="auto"/>
          <w:sz w:val="24"/>
        </w:rPr>
        <w:t>合同履行期间，若双方发生争议，可协商或由有关部门调解解决，协商或调解不成的，向自贡市仲裁委员会申请仲裁。</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3.</w:t>
      </w:r>
      <w:r>
        <w:rPr>
          <w:rFonts w:hint="eastAsia" w:ascii="仿宋" w:eastAsia="仿宋" w:cs="仿宋"/>
          <w:color w:val="auto"/>
          <w:sz w:val="24"/>
        </w:rPr>
        <w:t>仲裁裁决应为最终决定，并对双方具有约束力。</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4.</w:t>
      </w:r>
      <w:r>
        <w:rPr>
          <w:rFonts w:hint="eastAsia" w:ascii="仿宋" w:eastAsia="仿宋" w:cs="仿宋"/>
          <w:color w:val="auto"/>
          <w:sz w:val="24"/>
        </w:rPr>
        <w:t>除另有裁决外，仲裁费应由败诉方负担。</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lang w:val="en-US" w:eastAsia="zh-CN"/>
        </w:rPr>
        <w:t>5.</w:t>
      </w:r>
      <w:r>
        <w:rPr>
          <w:rFonts w:hint="eastAsia" w:ascii="仿宋" w:eastAsia="仿宋" w:cs="仿宋"/>
          <w:color w:val="auto"/>
          <w:sz w:val="24"/>
        </w:rPr>
        <w:t>在仲裁期间，除正在进行仲裁部分外，合同其他部分继续执行。</w:t>
      </w:r>
    </w:p>
    <w:p>
      <w:pPr>
        <w:spacing w:line="360" w:lineRule="auto"/>
        <w:ind w:firstLine="482" w:firstLineChars="200"/>
        <w:rPr>
          <w:rFonts w:hint="eastAsia" w:ascii="仿宋" w:eastAsia="仿宋" w:cs="仿宋"/>
          <w:color w:val="auto"/>
          <w:sz w:val="24"/>
        </w:rPr>
      </w:pPr>
      <w:r>
        <w:rPr>
          <w:rFonts w:hint="eastAsia" w:ascii="仿宋" w:eastAsia="仿宋" w:cs="仿宋"/>
          <w:b/>
          <w:bCs/>
          <w:color w:val="auto"/>
          <w:sz w:val="24"/>
        </w:rPr>
        <w:t>十一、合同生效及其他</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1.合同经双方法定代表人或授权委托代理人签字并加盖公章后生效。</w:t>
      </w:r>
    </w:p>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2.政府采购合同履行中，甲方需追加与合同标的相同的</w:t>
      </w:r>
      <w:r>
        <w:rPr>
          <w:rFonts w:hint="eastAsia" w:ascii="仿宋" w:eastAsia="仿宋" w:cs="仿宋"/>
          <w:color w:val="auto"/>
          <w:sz w:val="24"/>
          <w:lang w:eastAsia="zh-CN"/>
        </w:rPr>
        <w:t>服务</w:t>
      </w:r>
      <w:r>
        <w:rPr>
          <w:rFonts w:hint="eastAsia" w:ascii="仿宋" w:eastAsia="仿宋" w:cs="仿宋"/>
          <w:color w:val="auto"/>
          <w:sz w:val="24"/>
        </w:rPr>
        <w:t>的，在不改变合同其他条款的前提下，可以与乙方协商签订补充合同，但所有补充合同的采购金额不得超过原合同采购金额的百分之十。补充协议签订后，报政府采购监督管理部门备案，方可作为主合同不可分割的一部分。</w:t>
      </w:r>
    </w:p>
    <w:p>
      <w:pPr>
        <w:spacing w:line="360" w:lineRule="auto"/>
        <w:ind w:firstLine="480" w:firstLineChars="200"/>
        <w:rPr>
          <w:rFonts w:hint="eastAsia" w:ascii="仿宋" w:eastAsia="仿宋" w:cs="仿宋"/>
          <w:color w:val="auto"/>
          <w:sz w:val="24"/>
          <w:lang w:eastAsia="zh-CN"/>
        </w:rPr>
      </w:pPr>
      <w:r>
        <w:rPr>
          <w:rFonts w:hint="eastAsia" w:ascii="仿宋" w:eastAsia="仿宋" w:cs="仿宋"/>
          <w:color w:val="auto"/>
          <w:sz w:val="24"/>
        </w:rPr>
        <w:t>3.本合同一式</w:t>
      </w:r>
      <w:r>
        <w:rPr>
          <w:rFonts w:hint="eastAsia" w:ascii="仿宋" w:eastAsia="仿宋" w:cs="仿宋"/>
          <w:color w:val="auto"/>
          <w:sz w:val="24"/>
          <w:lang w:val="en-US" w:eastAsia="zh-CN"/>
        </w:rPr>
        <w:t>5</w:t>
      </w:r>
      <w:r>
        <w:rPr>
          <w:rFonts w:hint="eastAsia" w:ascii="仿宋" w:eastAsia="仿宋" w:cs="仿宋"/>
          <w:color w:val="auto"/>
          <w:sz w:val="24"/>
        </w:rPr>
        <w:t>份，自双方签章之日起生效。甲方持有</w:t>
      </w:r>
      <w:r>
        <w:rPr>
          <w:rFonts w:hint="eastAsia" w:ascii="仿宋" w:eastAsia="仿宋" w:cs="仿宋"/>
          <w:color w:val="auto"/>
          <w:sz w:val="24"/>
          <w:lang w:val="en-US" w:eastAsia="zh-CN"/>
        </w:rPr>
        <w:t>4</w:t>
      </w:r>
      <w:r>
        <w:rPr>
          <w:rFonts w:hint="eastAsia" w:ascii="仿宋" w:eastAsia="仿宋" w:cs="仿宋"/>
          <w:color w:val="auto"/>
          <w:sz w:val="24"/>
        </w:rPr>
        <w:t>份，乙方持有1份，具有同等法律效力。</w:t>
      </w:r>
    </w:p>
    <w:p>
      <w:pPr>
        <w:spacing w:line="360" w:lineRule="auto"/>
        <w:ind w:firstLine="480" w:firstLineChars="200"/>
        <w:rPr>
          <w:rFonts w:hint="eastAsia" w:ascii="仿宋" w:eastAsia="仿宋" w:cs="仿宋"/>
          <w:color w:val="auto"/>
          <w:sz w:val="24"/>
          <w:lang w:eastAsia="zh-CN"/>
        </w:rPr>
      </w:pPr>
    </w:p>
    <w:p>
      <w:pPr>
        <w:pStyle w:val="2"/>
        <w:rPr>
          <w:rFonts w:hint="eastAsia"/>
          <w:lang w:eastAsia="zh-CN"/>
        </w:rPr>
      </w:pPr>
    </w:p>
    <w:tbl>
      <w:tblPr>
        <w:tblStyle w:val="27"/>
        <w:tblW w:w="50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17"/>
        <w:gridCol w:w="4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469" w:type="pct"/>
            <w:vAlign w:val="center"/>
          </w:tcPr>
          <w:p>
            <w:pPr>
              <w:spacing w:line="360" w:lineRule="auto"/>
              <w:ind w:firstLine="480" w:firstLineChars="200"/>
              <w:rPr>
                <w:rFonts w:hint="eastAsia" w:ascii="仿宋" w:eastAsia="仿宋" w:cs="仿宋"/>
                <w:color w:val="auto"/>
                <w:sz w:val="24"/>
                <w:lang w:eastAsia="zh-CN"/>
              </w:rPr>
            </w:pPr>
            <w:r>
              <w:rPr>
                <w:rFonts w:hint="eastAsia" w:ascii="仿宋" w:eastAsia="仿宋" w:cs="仿宋"/>
                <w:color w:val="auto"/>
                <w:sz w:val="24"/>
              </w:rPr>
              <w:t>甲方：富顺县中医医院</w:t>
            </w:r>
            <w:r>
              <w:rPr>
                <w:rFonts w:hint="eastAsia" w:ascii="仿宋" w:eastAsia="仿宋" w:cs="仿宋"/>
                <w:color w:val="auto"/>
                <w:sz w:val="24"/>
                <w:lang w:eastAsia="zh-CN"/>
              </w:rPr>
              <w:t>（</w:t>
            </w:r>
            <w:r>
              <w:rPr>
                <w:rFonts w:hint="eastAsia" w:ascii="仿宋" w:eastAsia="仿宋" w:cs="仿宋"/>
                <w:color w:val="auto"/>
                <w:sz w:val="24"/>
              </w:rPr>
              <w:t>盖章</w:t>
            </w:r>
            <w:r>
              <w:rPr>
                <w:rFonts w:hint="eastAsia" w:ascii="仿宋" w:eastAsia="仿宋" w:cs="仿宋"/>
                <w:color w:val="auto"/>
                <w:sz w:val="24"/>
                <w:lang w:eastAsia="zh-CN"/>
              </w:rPr>
              <w:t>）</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乙方：</w:t>
            </w:r>
            <w:r>
              <w:rPr>
                <w:rFonts w:hint="eastAsia" w:ascii="仿宋" w:eastAsia="仿宋" w:cs="仿宋"/>
                <w:color w:val="auto"/>
                <w:sz w:val="24"/>
                <w:lang w:eastAsia="zh-CN"/>
              </w:rPr>
              <w:t>（</w:t>
            </w:r>
            <w:r>
              <w:rPr>
                <w:rFonts w:hint="eastAsia" w:ascii="仿宋" w:eastAsia="仿宋" w:cs="仿宋"/>
                <w:color w:val="auto"/>
                <w:sz w:val="24"/>
              </w:rPr>
              <w:t>盖章</w:t>
            </w:r>
            <w:r>
              <w:rPr>
                <w:rFonts w:hint="eastAsia" w:ascii="仿宋" w:eastAsia="仿宋" w:cs="仿宋"/>
                <w:color w:val="auto"/>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法定代表人</w:t>
            </w:r>
            <w:r>
              <w:rPr>
                <w:rFonts w:hint="eastAsia" w:ascii="仿宋" w:eastAsia="仿宋" w:cs="仿宋"/>
                <w:color w:val="auto"/>
                <w:sz w:val="24"/>
                <w:lang w:eastAsia="zh-CN"/>
              </w:rPr>
              <w:t>（</w:t>
            </w:r>
            <w:r>
              <w:rPr>
                <w:rFonts w:hint="eastAsia" w:ascii="仿宋" w:eastAsia="仿宋" w:cs="仿宋"/>
                <w:color w:val="auto"/>
                <w:sz w:val="24"/>
              </w:rPr>
              <w:t>被授权人</w:t>
            </w:r>
            <w:r>
              <w:rPr>
                <w:rFonts w:hint="eastAsia" w:ascii="仿宋" w:eastAsia="仿宋" w:cs="仿宋"/>
                <w:color w:val="auto"/>
                <w:sz w:val="24"/>
                <w:lang w:eastAsia="zh-CN"/>
              </w:rPr>
              <w:t>）</w:t>
            </w:r>
            <w:r>
              <w:rPr>
                <w:rFonts w:hint="eastAsia" w:ascii="仿宋" w:eastAsia="仿宋" w:cs="仿宋"/>
                <w:color w:val="auto"/>
                <w:sz w:val="24"/>
              </w:rPr>
              <w:t>：</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法定代表人</w:t>
            </w:r>
            <w:r>
              <w:rPr>
                <w:rFonts w:hint="eastAsia" w:ascii="仿宋" w:eastAsia="仿宋" w:cs="仿宋"/>
                <w:color w:val="auto"/>
                <w:sz w:val="24"/>
                <w:lang w:eastAsia="zh-CN"/>
              </w:rPr>
              <w:t>（</w:t>
            </w:r>
            <w:r>
              <w:rPr>
                <w:rFonts w:hint="eastAsia" w:ascii="仿宋" w:eastAsia="仿宋" w:cs="仿宋"/>
                <w:color w:val="auto"/>
                <w:sz w:val="24"/>
              </w:rPr>
              <w:t>被授权人</w:t>
            </w:r>
            <w:r>
              <w:rPr>
                <w:rFonts w:hint="eastAsia" w:ascii="仿宋" w:eastAsia="仿宋" w:cs="仿宋"/>
                <w:color w:val="auto"/>
                <w:sz w:val="24"/>
                <w:lang w:eastAsia="zh-CN"/>
              </w:rPr>
              <w:t>）</w:t>
            </w:r>
            <w:r>
              <w:rPr>
                <w:rFonts w:hint="eastAsia" w:ascii="仿宋" w:eastAsia="仿宋" w:cs="仿宋"/>
                <w:color w:val="auto"/>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地址</w:t>
            </w:r>
            <w:r>
              <w:rPr>
                <w:rFonts w:hint="eastAsia" w:ascii="仿宋" w:eastAsia="仿宋" w:cs="仿宋"/>
                <w:color w:val="auto"/>
                <w:sz w:val="24"/>
                <w:lang w:eastAsia="zh-CN"/>
              </w:rPr>
              <w:t>（</w:t>
            </w:r>
            <w:r>
              <w:rPr>
                <w:rFonts w:hint="eastAsia" w:ascii="仿宋" w:eastAsia="仿宋" w:cs="仿宋"/>
                <w:color w:val="auto"/>
                <w:sz w:val="24"/>
              </w:rPr>
              <w:t>住所</w:t>
            </w:r>
            <w:r>
              <w:rPr>
                <w:rFonts w:hint="eastAsia" w:ascii="仿宋" w:eastAsia="仿宋" w:cs="仿宋"/>
                <w:color w:val="auto"/>
                <w:sz w:val="24"/>
                <w:lang w:eastAsia="zh-CN"/>
              </w:rPr>
              <w:t>）</w:t>
            </w:r>
            <w:r>
              <w:rPr>
                <w:rFonts w:hint="eastAsia" w:ascii="仿宋" w:eastAsia="仿宋" w:cs="仿宋"/>
                <w:color w:val="auto"/>
                <w:sz w:val="24"/>
              </w:rPr>
              <w:t>：</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地址</w:t>
            </w:r>
            <w:r>
              <w:rPr>
                <w:rFonts w:hint="eastAsia" w:ascii="仿宋" w:eastAsia="仿宋" w:cs="仿宋"/>
                <w:color w:val="auto"/>
                <w:sz w:val="24"/>
                <w:lang w:eastAsia="zh-CN"/>
              </w:rPr>
              <w:t>（</w:t>
            </w:r>
            <w:r>
              <w:rPr>
                <w:rFonts w:hint="eastAsia" w:ascii="仿宋" w:eastAsia="仿宋" w:cs="仿宋"/>
                <w:color w:val="auto"/>
                <w:sz w:val="24"/>
              </w:rPr>
              <w:t>住所</w:t>
            </w:r>
            <w:r>
              <w:rPr>
                <w:rFonts w:hint="eastAsia" w:ascii="仿宋" w:eastAsia="仿宋" w:cs="仿宋"/>
                <w:color w:val="auto"/>
                <w:sz w:val="24"/>
                <w:lang w:eastAsia="zh-CN"/>
              </w:rPr>
              <w:t>）</w:t>
            </w:r>
            <w:r>
              <w:rPr>
                <w:rFonts w:hint="eastAsia" w:ascii="仿宋" w:eastAsia="仿宋" w:cs="仿宋"/>
                <w:color w:val="auto"/>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开户银行：</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账号：</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电话：</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传真：</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469"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签约日期：    年  月  日</w:t>
            </w:r>
          </w:p>
        </w:tc>
        <w:tc>
          <w:tcPr>
            <w:tcW w:w="2530" w:type="pct"/>
            <w:vAlign w:val="center"/>
          </w:tcPr>
          <w:p>
            <w:pPr>
              <w:spacing w:line="360" w:lineRule="auto"/>
              <w:ind w:firstLine="480" w:firstLineChars="200"/>
              <w:rPr>
                <w:rFonts w:hint="eastAsia" w:ascii="仿宋" w:eastAsia="仿宋" w:cs="仿宋"/>
                <w:color w:val="auto"/>
                <w:sz w:val="24"/>
              </w:rPr>
            </w:pPr>
            <w:r>
              <w:rPr>
                <w:rFonts w:hint="eastAsia" w:ascii="仿宋" w:eastAsia="仿宋" w:cs="仿宋"/>
                <w:color w:val="auto"/>
                <w:sz w:val="24"/>
              </w:rPr>
              <w:t>签约日期：     年    月     日</w:t>
            </w:r>
          </w:p>
        </w:tc>
      </w:tr>
    </w:tbl>
    <w:p>
      <w:pPr>
        <w:pStyle w:val="5"/>
        <w:rPr>
          <w:rFonts w:hint="eastAsia" w:ascii="仿宋" w:hAnsi="仿宋" w:eastAsia="仿宋" w:cs="仿宋"/>
          <w:color w:val="auto"/>
          <w:sz w:val="36"/>
          <w:szCs w:val="36"/>
        </w:rPr>
      </w:pPr>
      <w:bookmarkStart w:id="140" w:name="_Toc6079"/>
      <w:bookmarkStart w:id="141" w:name="_Toc14066"/>
    </w:p>
    <w:p>
      <w:pPr>
        <w:pStyle w:val="5"/>
        <w:rPr>
          <w:rFonts w:hint="eastAsia" w:ascii="仿宋" w:hAnsi="仿宋" w:eastAsia="仿宋" w:cs="仿宋"/>
          <w:color w:val="auto"/>
          <w:sz w:val="36"/>
          <w:szCs w:val="36"/>
        </w:rPr>
        <w:sectPr>
          <w:pgSz w:w="11906" w:h="16838"/>
          <w:pgMar w:top="1134" w:right="1755" w:bottom="1134" w:left="1531" w:header="851" w:footer="850" w:gutter="0"/>
          <w:cols w:space="720" w:num="1"/>
          <w:titlePg/>
          <w:docGrid w:linePitch="312" w:charSpace="0"/>
        </w:sectPr>
      </w:pPr>
    </w:p>
    <w:p>
      <w:pPr>
        <w:pStyle w:val="5"/>
        <w:rPr>
          <w:rFonts w:ascii="仿宋" w:hAnsi="仿宋" w:eastAsia="仿宋" w:cs="仿宋"/>
          <w:color w:val="auto"/>
          <w:sz w:val="36"/>
          <w:szCs w:val="36"/>
        </w:rPr>
      </w:pPr>
      <w:r>
        <w:rPr>
          <w:rFonts w:hint="eastAsia" w:ascii="仿宋" w:hAnsi="仿宋" w:eastAsia="仿宋" w:cs="仿宋"/>
          <w:color w:val="auto"/>
          <w:sz w:val="36"/>
          <w:szCs w:val="36"/>
        </w:rPr>
        <w:t>第十章 附件</w:t>
      </w:r>
      <w:bookmarkEnd w:id="136"/>
      <w:bookmarkEnd w:id="137"/>
      <w:bookmarkEnd w:id="138"/>
      <w:bookmarkEnd w:id="139"/>
      <w:bookmarkEnd w:id="140"/>
      <w:bookmarkEnd w:id="141"/>
    </w:p>
    <w:p>
      <w:pPr>
        <w:spacing w:before="170"/>
        <w:jc w:val="center"/>
        <w:outlineLvl w:val="1"/>
        <w:rPr>
          <w:rFonts w:ascii="仿宋" w:hAnsi="仿宋" w:eastAsia="仿宋" w:cs="仿宋"/>
          <w:b/>
          <w:bCs/>
          <w:color w:val="auto"/>
          <w:sz w:val="36"/>
          <w:szCs w:val="36"/>
        </w:rPr>
      </w:pPr>
      <w:bookmarkStart w:id="142" w:name="_Toc13602"/>
      <w:r>
        <w:rPr>
          <w:rFonts w:hint="eastAsia" w:ascii="仿宋" w:hAnsi="仿宋" w:eastAsia="仿宋" w:cs="仿宋"/>
          <w:b/>
          <w:bCs/>
          <w:color w:val="auto"/>
          <w:sz w:val="36"/>
          <w:szCs w:val="36"/>
        </w:rPr>
        <w:t>供应商报名登记表</w:t>
      </w:r>
      <w:bookmarkEnd w:id="142"/>
    </w:p>
    <w:p>
      <w:pPr>
        <w:rPr>
          <w:color w:val="auto"/>
        </w:rPr>
      </w:pPr>
    </w:p>
    <w:tbl>
      <w:tblPr>
        <w:tblStyle w:val="26"/>
        <w:tblW w:w="8820" w:type="dxa"/>
        <w:jc w:val="center"/>
        <w:tblLayout w:type="fixed"/>
        <w:tblCellMar>
          <w:top w:w="0" w:type="dxa"/>
          <w:left w:w="108" w:type="dxa"/>
          <w:bottom w:w="0" w:type="dxa"/>
          <w:right w:w="108" w:type="dxa"/>
        </w:tblCellMar>
      </w:tblPr>
      <w:tblGrid>
        <w:gridCol w:w="2524"/>
        <w:gridCol w:w="6296"/>
      </w:tblGrid>
      <w:tr>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widowControl/>
              <w:spacing w:line="360" w:lineRule="auto"/>
              <w:jc w:val="left"/>
              <w:textAlignment w:val="center"/>
              <w:rPr>
                <w:rFonts w:ascii="仿宋" w:hAnsi="仿宋" w:eastAsia="仿宋" w:cs="仿宋"/>
                <w:color w:val="auto"/>
                <w:sz w:val="32"/>
                <w:szCs w:val="32"/>
              </w:rPr>
            </w:pPr>
          </w:p>
        </w:tc>
      </w:tr>
      <w:tr>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32"/>
                <w:szCs w:val="32"/>
              </w:rPr>
            </w:pPr>
          </w:p>
        </w:tc>
      </w:tr>
      <w:tr>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③供应商经办人身份证影印件（加盖公章）；</w:t>
            </w:r>
          </w:p>
          <w:p>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rPr>
          <w:rFonts w:ascii="仿宋" w:hAnsi="仿宋" w:eastAsia="仿宋" w:cs="仿宋"/>
          <w:color w:val="auto"/>
          <w:sz w:val="10"/>
          <w:szCs w:val="10"/>
        </w:rPr>
      </w:pPr>
    </w:p>
    <w:p>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宋体"/>
    <w:panose1 w:val="00000000000000000000"/>
    <w:charset w:val="86"/>
    <w:family w:val="swiss"/>
    <w:pitch w:val="default"/>
    <w:sig w:usb0="00000000" w:usb1="00000000" w:usb2="00000016" w:usb3="00000000" w:csb0="602E0107" w:csb1="00000000"/>
  </w:font>
  <w:font w:name="仿宋">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21"/>
                          </w:pPr>
                          <w:r>
                            <w:fldChar w:fldCharType="begin"/>
                          </w:r>
                          <w:r>
                            <w:instrText xml:space="preserve"> PAGE  \* MERGEFORMAT </w:instrText>
                          </w:r>
                          <w:r>
                            <w:fldChar w:fldCharType="separate"/>
                          </w:r>
                          <w:r>
                            <w:t>55</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pPr>
                      <w:pStyle w:val="21"/>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1"/>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1"/>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1"/>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109</w:t>
                    </w:r>
                    <w:r>
                      <w:fldChar w:fldCharType="end"/>
                    </w:r>
                  </w:p>
                </w:txbxContent>
              </v:textbox>
            </v:shape>
          </w:pict>
        </mc:Fallback>
      </mc:AlternateContent>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pPr>
      <w:pStyle w:val="22"/>
      <w:jc w:val="left"/>
    </w:pPr>
  </w:p>
  <w:p>
    <w:pPr>
      <w:pStyle w:val="22"/>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51FFD"/>
    <w:multiLevelType w:val="singleLevel"/>
    <w:tmpl w:val="9AF51FFD"/>
    <w:lvl w:ilvl="0" w:tentative="0">
      <w:start w:val="3"/>
      <w:numFmt w:val="chineseCounting"/>
      <w:suff w:val="space"/>
      <w:lvlText w:val="第%1部分"/>
      <w:lvlJc w:val="left"/>
      <w:rPr>
        <w:rFonts w:hint="eastAsia"/>
      </w:rPr>
    </w:lvl>
  </w:abstractNum>
  <w:abstractNum w:abstractNumId="1">
    <w:nsid w:val="AE90FDBB"/>
    <w:multiLevelType w:val="singleLevel"/>
    <w:tmpl w:val="AE90FDBB"/>
    <w:lvl w:ilvl="0" w:tentative="0">
      <w:start w:val="1"/>
      <w:numFmt w:val="chineseCounting"/>
      <w:suff w:val="nothing"/>
      <w:lvlText w:val="%1、"/>
      <w:lvlJc w:val="left"/>
      <w:rPr>
        <w:rFonts w:hint="eastAsia"/>
      </w:rPr>
    </w:lvl>
  </w:abstractNum>
  <w:abstractNum w:abstractNumId="2">
    <w:nsid w:val="C6FEDB60"/>
    <w:multiLevelType w:val="singleLevel"/>
    <w:tmpl w:val="C6FEDB60"/>
    <w:lvl w:ilvl="0" w:tentative="0">
      <w:start w:val="2"/>
      <w:numFmt w:val="decimal"/>
      <w:lvlText w:val="%1."/>
      <w:lvlJc w:val="left"/>
      <w:pPr>
        <w:tabs>
          <w:tab w:val="left" w:pos="312"/>
        </w:tabs>
      </w:pPr>
    </w:lvl>
  </w:abstractNum>
  <w:abstractNum w:abstractNumId="3">
    <w:nsid w:val="E768029D"/>
    <w:multiLevelType w:val="singleLevel"/>
    <w:tmpl w:val="E768029D"/>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VerticalSpacing w:val="156"/>
  <w:noPunctuationKerning w:val="1"/>
  <w:characterSpacingControl w:val="doNotCompress"/>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ZGY5YmE5NmVkZWI4ZmMzYjExYWQ5OWZlMTVkODUifQ=="/>
    <w:docVar w:name="KSO_WPS_MARK_KEY" w:val="0ecf6735-0faf-4da5-b39e-84b9bf466ad0"/>
  </w:docVars>
  <w:rsids>
    <w:rsidRoot w:val="00172A27"/>
    <w:rsid w:val="00011638"/>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43473"/>
    <w:rsid w:val="002632C1"/>
    <w:rsid w:val="00265A2C"/>
    <w:rsid w:val="002814F0"/>
    <w:rsid w:val="002A3435"/>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547E7"/>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03FE7"/>
    <w:rsid w:val="007106CA"/>
    <w:rsid w:val="007132DD"/>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B409A"/>
    <w:rsid w:val="008C7A34"/>
    <w:rsid w:val="008E6930"/>
    <w:rsid w:val="008F14D9"/>
    <w:rsid w:val="00902A78"/>
    <w:rsid w:val="00927CAC"/>
    <w:rsid w:val="00934C27"/>
    <w:rsid w:val="00937D74"/>
    <w:rsid w:val="00940638"/>
    <w:rsid w:val="00940DBD"/>
    <w:rsid w:val="00943180"/>
    <w:rsid w:val="0094458A"/>
    <w:rsid w:val="0094757C"/>
    <w:rsid w:val="00961153"/>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2700"/>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26A22"/>
    <w:rsid w:val="00D355E8"/>
    <w:rsid w:val="00D53FA0"/>
    <w:rsid w:val="00D64044"/>
    <w:rsid w:val="00D85BFB"/>
    <w:rsid w:val="00D87EFB"/>
    <w:rsid w:val="00D95E4B"/>
    <w:rsid w:val="00DB588E"/>
    <w:rsid w:val="00DD23BA"/>
    <w:rsid w:val="00DD3581"/>
    <w:rsid w:val="00DD50AC"/>
    <w:rsid w:val="00DD5B81"/>
    <w:rsid w:val="00DE185C"/>
    <w:rsid w:val="00DE24B8"/>
    <w:rsid w:val="00DF11AF"/>
    <w:rsid w:val="00DF18C1"/>
    <w:rsid w:val="00DF3470"/>
    <w:rsid w:val="00DF5E24"/>
    <w:rsid w:val="00DF7C15"/>
    <w:rsid w:val="00E02A96"/>
    <w:rsid w:val="00E11430"/>
    <w:rsid w:val="00E2537C"/>
    <w:rsid w:val="00E42984"/>
    <w:rsid w:val="00E714C0"/>
    <w:rsid w:val="00E77514"/>
    <w:rsid w:val="00E96A5C"/>
    <w:rsid w:val="00EA0442"/>
    <w:rsid w:val="00EA150D"/>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4396"/>
    <w:rsid w:val="00F56572"/>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C56060"/>
    <w:rsid w:val="01CC5EE4"/>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30B64"/>
    <w:rsid w:val="02696A4A"/>
    <w:rsid w:val="02767B92"/>
    <w:rsid w:val="027A02CD"/>
    <w:rsid w:val="027F2F56"/>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72379"/>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74983"/>
    <w:rsid w:val="04DF723D"/>
    <w:rsid w:val="04ED4D8C"/>
    <w:rsid w:val="04F10E85"/>
    <w:rsid w:val="04F12828"/>
    <w:rsid w:val="04F319B6"/>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A833D6"/>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7877CF"/>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F0394D"/>
    <w:rsid w:val="09FF6440"/>
    <w:rsid w:val="0A026787"/>
    <w:rsid w:val="0A0F7F03"/>
    <w:rsid w:val="0A232A84"/>
    <w:rsid w:val="0A4A3C0A"/>
    <w:rsid w:val="0A5D3163"/>
    <w:rsid w:val="0A5E7E10"/>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11E2A"/>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31630"/>
    <w:rsid w:val="0CEB43FB"/>
    <w:rsid w:val="0D000D6D"/>
    <w:rsid w:val="0D051B33"/>
    <w:rsid w:val="0D2224F9"/>
    <w:rsid w:val="0D402CC7"/>
    <w:rsid w:val="0D435DE3"/>
    <w:rsid w:val="0D475D34"/>
    <w:rsid w:val="0D494A00"/>
    <w:rsid w:val="0D4F3FF5"/>
    <w:rsid w:val="0D673F02"/>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232AF"/>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BF242D"/>
    <w:rsid w:val="0EC0127A"/>
    <w:rsid w:val="0EC04C2D"/>
    <w:rsid w:val="0EC816AB"/>
    <w:rsid w:val="0ECA0196"/>
    <w:rsid w:val="0ECB39D1"/>
    <w:rsid w:val="0ED068AD"/>
    <w:rsid w:val="0ED778BA"/>
    <w:rsid w:val="0EF936C5"/>
    <w:rsid w:val="0F0119D8"/>
    <w:rsid w:val="0F1538BD"/>
    <w:rsid w:val="0F2118D0"/>
    <w:rsid w:val="0F212FDF"/>
    <w:rsid w:val="0F271E00"/>
    <w:rsid w:val="0F2A1AE2"/>
    <w:rsid w:val="0F2D4E84"/>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3D1226"/>
    <w:rsid w:val="12451CF4"/>
    <w:rsid w:val="124A47E3"/>
    <w:rsid w:val="124B1599"/>
    <w:rsid w:val="126613E9"/>
    <w:rsid w:val="12666A46"/>
    <w:rsid w:val="12865631"/>
    <w:rsid w:val="128D5A4C"/>
    <w:rsid w:val="12945580"/>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8E0DB2"/>
    <w:rsid w:val="13B23C47"/>
    <w:rsid w:val="13BC2E0C"/>
    <w:rsid w:val="13CD64A6"/>
    <w:rsid w:val="13D41328"/>
    <w:rsid w:val="13DB57DE"/>
    <w:rsid w:val="13ED3796"/>
    <w:rsid w:val="13EE3A48"/>
    <w:rsid w:val="13EF6C5A"/>
    <w:rsid w:val="13F26EEF"/>
    <w:rsid w:val="140507E9"/>
    <w:rsid w:val="14170E9C"/>
    <w:rsid w:val="14192869"/>
    <w:rsid w:val="141B6FAE"/>
    <w:rsid w:val="14232C2E"/>
    <w:rsid w:val="142904FC"/>
    <w:rsid w:val="143408E4"/>
    <w:rsid w:val="144025E2"/>
    <w:rsid w:val="1459412F"/>
    <w:rsid w:val="145A74AE"/>
    <w:rsid w:val="14632545"/>
    <w:rsid w:val="146C7223"/>
    <w:rsid w:val="146C7D4F"/>
    <w:rsid w:val="14766494"/>
    <w:rsid w:val="14954BB7"/>
    <w:rsid w:val="149E4CD4"/>
    <w:rsid w:val="14A23A04"/>
    <w:rsid w:val="14A55B9D"/>
    <w:rsid w:val="14A63F6D"/>
    <w:rsid w:val="14B12B82"/>
    <w:rsid w:val="14B77582"/>
    <w:rsid w:val="14BD1496"/>
    <w:rsid w:val="14C60897"/>
    <w:rsid w:val="14C73686"/>
    <w:rsid w:val="14CA542F"/>
    <w:rsid w:val="14D0307E"/>
    <w:rsid w:val="14D907B9"/>
    <w:rsid w:val="14E40C32"/>
    <w:rsid w:val="14F2059D"/>
    <w:rsid w:val="150040A6"/>
    <w:rsid w:val="1503166D"/>
    <w:rsid w:val="150D7FCA"/>
    <w:rsid w:val="15121D0E"/>
    <w:rsid w:val="15211DA6"/>
    <w:rsid w:val="1523615F"/>
    <w:rsid w:val="15262782"/>
    <w:rsid w:val="15277504"/>
    <w:rsid w:val="152D6299"/>
    <w:rsid w:val="1536195E"/>
    <w:rsid w:val="15442A28"/>
    <w:rsid w:val="155E0542"/>
    <w:rsid w:val="15640F4A"/>
    <w:rsid w:val="1565704A"/>
    <w:rsid w:val="15657D89"/>
    <w:rsid w:val="15745E94"/>
    <w:rsid w:val="157D4738"/>
    <w:rsid w:val="157E3B2B"/>
    <w:rsid w:val="15913BFF"/>
    <w:rsid w:val="15992BEB"/>
    <w:rsid w:val="159B3BBC"/>
    <w:rsid w:val="15B160FE"/>
    <w:rsid w:val="15B96DE3"/>
    <w:rsid w:val="15C004CF"/>
    <w:rsid w:val="15C36849"/>
    <w:rsid w:val="15D30F40"/>
    <w:rsid w:val="15D554DA"/>
    <w:rsid w:val="15D62207"/>
    <w:rsid w:val="15DA10F2"/>
    <w:rsid w:val="15DC292A"/>
    <w:rsid w:val="15E020DC"/>
    <w:rsid w:val="15E04CA5"/>
    <w:rsid w:val="15E56F16"/>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8801D3"/>
    <w:rsid w:val="169F16A6"/>
    <w:rsid w:val="16A11EDF"/>
    <w:rsid w:val="16AE3FD8"/>
    <w:rsid w:val="16B30CDF"/>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4A5489"/>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71FFD"/>
    <w:rsid w:val="17EF69B5"/>
    <w:rsid w:val="17F372E7"/>
    <w:rsid w:val="18046C97"/>
    <w:rsid w:val="180C70B9"/>
    <w:rsid w:val="18184E41"/>
    <w:rsid w:val="18186149"/>
    <w:rsid w:val="181C2344"/>
    <w:rsid w:val="182561C2"/>
    <w:rsid w:val="18283020"/>
    <w:rsid w:val="18337762"/>
    <w:rsid w:val="18346D83"/>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BD515A"/>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659DE"/>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56139"/>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44D55"/>
    <w:rsid w:val="1EB5144F"/>
    <w:rsid w:val="1EB677A2"/>
    <w:rsid w:val="1EB90471"/>
    <w:rsid w:val="1EC109D3"/>
    <w:rsid w:val="1ED868EC"/>
    <w:rsid w:val="1EDE7C64"/>
    <w:rsid w:val="1EDF295B"/>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425F3"/>
    <w:rsid w:val="1FA51437"/>
    <w:rsid w:val="1FAB4AFC"/>
    <w:rsid w:val="1FC35DD8"/>
    <w:rsid w:val="1FC4026A"/>
    <w:rsid w:val="1FC4784B"/>
    <w:rsid w:val="1FCF1E36"/>
    <w:rsid w:val="1FDD2648"/>
    <w:rsid w:val="1FEC1933"/>
    <w:rsid w:val="1FF52CDD"/>
    <w:rsid w:val="1FFB4C5A"/>
    <w:rsid w:val="1FFC3FAC"/>
    <w:rsid w:val="1FFE44A5"/>
    <w:rsid w:val="201737F8"/>
    <w:rsid w:val="201804B9"/>
    <w:rsid w:val="2019279F"/>
    <w:rsid w:val="20322F9A"/>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6045B"/>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21621"/>
    <w:rsid w:val="2164125E"/>
    <w:rsid w:val="21675C1D"/>
    <w:rsid w:val="216C5789"/>
    <w:rsid w:val="21730376"/>
    <w:rsid w:val="219178FC"/>
    <w:rsid w:val="21996556"/>
    <w:rsid w:val="21A12149"/>
    <w:rsid w:val="21A87888"/>
    <w:rsid w:val="21AF62F6"/>
    <w:rsid w:val="21B15B40"/>
    <w:rsid w:val="21BC4049"/>
    <w:rsid w:val="21BD0163"/>
    <w:rsid w:val="21C14631"/>
    <w:rsid w:val="21C66507"/>
    <w:rsid w:val="21C74900"/>
    <w:rsid w:val="21CD2758"/>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C8422D"/>
    <w:rsid w:val="22C93193"/>
    <w:rsid w:val="22D5626F"/>
    <w:rsid w:val="22E13528"/>
    <w:rsid w:val="22E93745"/>
    <w:rsid w:val="22EE1096"/>
    <w:rsid w:val="22EF1551"/>
    <w:rsid w:val="22F041F8"/>
    <w:rsid w:val="22F0570E"/>
    <w:rsid w:val="22F44BA1"/>
    <w:rsid w:val="22FD6290"/>
    <w:rsid w:val="23025F4B"/>
    <w:rsid w:val="230A237E"/>
    <w:rsid w:val="2314776E"/>
    <w:rsid w:val="2335171C"/>
    <w:rsid w:val="23381379"/>
    <w:rsid w:val="23412DDE"/>
    <w:rsid w:val="23436685"/>
    <w:rsid w:val="234438A0"/>
    <w:rsid w:val="234C00A8"/>
    <w:rsid w:val="23511D60"/>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DF51AB"/>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787ADA"/>
    <w:rsid w:val="248028A1"/>
    <w:rsid w:val="24841DD0"/>
    <w:rsid w:val="24936B36"/>
    <w:rsid w:val="249A6FF3"/>
    <w:rsid w:val="24A26D90"/>
    <w:rsid w:val="24A47F8C"/>
    <w:rsid w:val="24AB4876"/>
    <w:rsid w:val="24B06EE5"/>
    <w:rsid w:val="24BF4EEA"/>
    <w:rsid w:val="24D457F9"/>
    <w:rsid w:val="24E038B7"/>
    <w:rsid w:val="24E45FB4"/>
    <w:rsid w:val="24E92114"/>
    <w:rsid w:val="24F85EA0"/>
    <w:rsid w:val="25025C48"/>
    <w:rsid w:val="250710D3"/>
    <w:rsid w:val="251D6F73"/>
    <w:rsid w:val="252457C9"/>
    <w:rsid w:val="25331E0C"/>
    <w:rsid w:val="253C5E4E"/>
    <w:rsid w:val="253E20DF"/>
    <w:rsid w:val="25403516"/>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AD5D00"/>
    <w:rsid w:val="26C039B6"/>
    <w:rsid w:val="26DB0AB2"/>
    <w:rsid w:val="26EC4808"/>
    <w:rsid w:val="26FD42C6"/>
    <w:rsid w:val="27036D89"/>
    <w:rsid w:val="271B407C"/>
    <w:rsid w:val="272E4CB3"/>
    <w:rsid w:val="2731199B"/>
    <w:rsid w:val="274719E5"/>
    <w:rsid w:val="274C0B76"/>
    <w:rsid w:val="27520E68"/>
    <w:rsid w:val="276035E5"/>
    <w:rsid w:val="27652F0A"/>
    <w:rsid w:val="276A1229"/>
    <w:rsid w:val="27785213"/>
    <w:rsid w:val="277E07E7"/>
    <w:rsid w:val="27834A1F"/>
    <w:rsid w:val="27930309"/>
    <w:rsid w:val="27995217"/>
    <w:rsid w:val="27A23668"/>
    <w:rsid w:val="27A47F2D"/>
    <w:rsid w:val="27A73FC1"/>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AF344A"/>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32621"/>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26146"/>
    <w:rsid w:val="2BCE2263"/>
    <w:rsid w:val="2BDC6E62"/>
    <w:rsid w:val="2BE315B0"/>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E71B8E"/>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20AB2"/>
    <w:rsid w:val="2D652A1B"/>
    <w:rsid w:val="2D6D174B"/>
    <w:rsid w:val="2D703C9E"/>
    <w:rsid w:val="2D7358A1"/>
    <w:rsid w:val="2D746295"/>
    <w:rsid w:val="2D815908"/>
    <w:rsid w:val="2D8B749C"/>
    <w:rsid w:val="2D8D30DA"/>
    <w:rsid w:val="2D9F47F6"/>
    <w:rsid w:val="2DB27C5C"/>
    <w:rsid w:val="2DC57552"/>
    <w:rsid w:val="2DE24431"/>
    <w:rsid w:val="2DEE0E6F"/>
    <w:rsid w:val="2DFB4AB8"/>
    <w:rsid w:val="2DFC4D2C"/>
    <w:rsid w:val="2E005871"/>
    <w:rsid w:val="2E010343"/>
    <w:rsid w:val="2E047FF2"/>
    <w:rsid w:val="2E067F7A"/>
    <w:rsid w:val="2E0917A2"/>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734DA"/>
    <w:rsid w:val="2EBE04F6"/>
    <w:rsid w:val="2EC2730E"/>
    <w:rsid w:val="2EC644FB"/>
    <w:rsid w:val="2EC67093"/>
    <w:rsid w:val="2EC86AEE"/>
    <w:rsid w:val="2ECE7227"/>
    <w:rsid w:val="2ED53B5F"/>
    <w:rsid w:val="2ED5709E"/>
    <w:rsid w:val="2EEB110D"/>
    <w:rsid w:val="2EF14461"/>
    <w:rsid w:val="2EFC280E"/>
    <w:rsid w:val="2F080F41"/>
    <w:rsid w:val="2F0A5C04"/>
    <w:rsid w:val="2F0C2EA5"/>
    <w:rsid w:val="2F0C6787"/>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E97DC8"/>
    <w:rsid w:val="2FF73B0C"/>
    <w:rsid w:val="300C3372"/>
    <w:rsid w:val="301133B8"/>
    <w:rsid w:val="301828ED"/>
    <w:rsid w:val="301D2329"/>
    <w:rsid w:val="30205928"/>
    <w:rsid w:val="303A1D5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3845E7"/>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129F9"/>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730E54"/>
    <w:rsid w:val="348B4258"/>
    <w:rsid w:val="348B64AD"/>
    <w:rsid w:val="348F22D5"/>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348F6"/>
    <w:rsid w:val="354436E7"/>
    <w:rsid w:val="35594B74"/>
    <w:rsid w:val="355B76D8"/>
    <w:rsid w:val="355D6FBC"/>
    <w:rsid w:val="3573120F"/>
    <w:rsid w:val="35766A84"/>
    <w:rsid w:val="35920EE5"/>
    <w:rsid w:val="35963A6E"/>
    <w:rsid w:val="359763D0"/>
    <w:rsid w:val="35A621F9"/>
    <w:rsid w:val="35A71E22"/>
    <w:rsid w:val="35AC7853"/>
    <w:rsid w:val="35C05C65"/>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4D4CF8"/>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3722E"/>
    <w:rsid w:val="393C7D76"/>
    <w:rsid w:val="394C022F"/>
    <w:rsid w:val="39596DCE"/>
    <w:rsid w:val="395F6381"/>
    <w:rsid w:val="39606EAB"/>
    <w:rsid w:val="396E3055"/>
    <w:rsid w:val="397B2E60"/>
    <w:rsid w:val="398448EF"/>
    <w:rsid w:val="399522F6"/>
    <w:rsid w:val="39955494"/>
    <w:rsid w:val="399D1B85"/>
    <w:rsid w:val="399F7B47"/>
    <w:rsid w:val="39A51CED"/>
    <w:rsid w:val="39AE1B2D"/>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64452"/>
    <w:rsid w:val="3A8B7139"/>
    <w:rsid w:val="3A8C23D8"/>
    <w:rsid w:val="3A8E001B"/>
    <w:rsid w:val="3A947CD7"/>
    <w:rsid w:val="3A950D1C"/>
    <w:rsid w:val="3A963E42"/>
    <w:rsid w:val="3A9D06FD"/>
    <w:rsid w:val="3AA2276A"/>
    <w:rsid w:val="3ABA2D65"/>
    <w:rsid w:val="3ABA674A"/>
    <w:rsid w:val="3ABF2920"/>
    <w:rsid w:val="3AC54C20"/>
    <w:rsid w:val="3ACC7CDD"/>
    <w:rsid w:val="3ADB4207"/>
    <w:rsid w:val="3AED22D6"/>
    <w:rsid w:val="3AF779AD"/>
    <w:rsid w:val="3AFC3FBD"/>
    <w:rsid w:val="3B054314"/>
    <w:rsid w:val="3B06454D"/>
    <w:rsid w:val="3B0A0A82"/>
    <w:rsid w:val="3B0A2CBD"/>
    <w:rsid w:val="3B20616F"/>
    <w:rsid w:val="3B236D02"/>
    <w:rsid w:val="3B36743C"/>
    <w:rsid w:val="3B3A01BF"/>
    <w:rsid w:val="3B3B3B35"/>
    <w:rsid w:val="3B4959AC"/>
    <w:rsid w:val="3B4D10A8"/>
    <w:rsid w:val="3B4D18B9"/>
    <w:rsid w:val="3B4D4CCB"/>
    <w:rsid w:val="3B5129DA"/>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687FDC"/>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6B6B1B"/>
    <w:rsid w:val="3F717440"/>
    <w:rsid w:val="3F735C05"/>
    <w:rsid w:val="3F773094"/>
    <w:rsid w:val="3F816E65"/>
    <w:rsid w:val="3F824F5D"/>
    <w:rsid w:val="3F8604AC"/>
    <w:rsid w:val="3F8E14A7"/>
    <w:rsid w:val="3F9215DF"/>
    <w:rsid w:val="3F9A3889"/>
    <w:rsid w:val="3F9B1329"/>
    <w:rsid w:val="3FA6268D"/>
    <w:rsid w:val="3FAE4B65"/>
    <w:rsid w:val="3FB02F4C"/>
    <w:rsid w:val="3FB32BAC"/>
    <w:rsid w:val="3FC05EDC"/>
    <w:rsid w:val="3FCE254D"/>
    <w:rsid w:val="3FD378FD"/>
    <w:rsid w:val="3FE703C1"/>
    <w:rsid w:val="3FF27D17"/>
    <w:rsid w:val="3FFC55A5"/>
    <w:rsid w:val="40010611"/>
    <w:rsid w:val="40114771"/>
    <w:rsid w:val="4018194F"/>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43F59"/>
    <w:rsid w:val="40A725E1"/>
    <w:rsid w:val="40A95132"/>
    <w:rsid w:val="40B0543A"/>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8A65AC"/>
    <w:rsid w:val="41A13682"/>
    <w:rsid w:val="41C01A1C"/>
    <w:rsid w:val="41D35E10"/>
    <w:rsid w:val="41D60CB4"/>
    <w:rsid w:val="41DB2A61"/>
    <w:rsid w:val="41EB1B1D"/>
    <w:rsid w:val="42023ED6"/>
    <w:rsid w:val="421015D0"/>
    <w:rsid w:val="4214103D"/>
    <w:rsid w:val="421F3E1C"/>
    <w:rsid w:val="423E3B31"/>
    <w:rsid w:val="424A0945"/>
    <w:rsid w:val="4251007E"/>
    <w:rsid w:val="425D1D0D"/>
    <w:rsid w:val="426248D9"/>
    <w:rsid w:val="426B0FE2"/>
    <w:rsid w:val="427053F0"/>
    <w:rsid w:val="4278754D"/>
    <w:rsid w:val="427A51DD"/>
    <w:rsid w:val="4280744C"/>
    <w:rsid w:val="428572CF"/>
    <w:rsid w:val="42AC1B7B"/>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23958"/>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DC44FB"/>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A656D1"/>
    <w:rsid w:val="45B10941"/>
    <w:rsid w:val="45BA3139"/>
    <w:rsid w:val="45CB0D0F"/>
    <w:rsid w:val="45CF5499"/>
    <w:rsid w:val="45D16BCE"/>
    <w:rsid w:val="45D4473F"/>
    <w:rsid w:val="45DF2EF9"/>
    <w:rsid w:val="45E67E61"/>
    <w:rsid w:val="45F41562"/>
    <w:rsid w:val="45F656CC"/>
    <w:rsid w:val="45F745A4"/>
    <w:rsid w:val="45FA0304"/>
    <w:rsid w:val="46051B4F"/>
    <w:rsid w:val="460927E6"/>
    <w:rsid w:val="460930B5"/>
    <w:rsid w:val="46111940"/>
    <w:rsid w:val="461314FD"/>
    <w:rsid w:val="461F516B"/>
    <w:rsid w:val="4625691E"/>
    <w:rsid w:val="4636302B"/>
    <w:rsid w:val="46481E9E"/>
    <w:rsid w:val="464B4741"/>
    <w:rsid w:val="46517C73"/>
    <w:rsid w:val="4666417F"/>
    <w:rsid w:val="467240D8"/>
    <w:rsid w:val="46783549"/>
    <w:rsid w:val="467A1F07"/>
    <w:rsid w:val="468F3B85"/>
    <w:rsid w:val="46C103C7"/>
    <w:rsid w:val="46C2064E"/>
    <w:rsid w:val="46C47BCD"/>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84024"/>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E7BBC"/>
    <w:rsid w:val="484F4336"/>
    <w:rsid w:val="48536C67"/>
    <w:rsid w:val="48575677"/>
    <w:rsid w:val="485D520F"/>
    <w:rsid w:val="48645CB0"/>
    <w:rsid w:val="48673D41"/>
    <w:rsid w:val="4880534E"/>
    <w:rsid w:val="48935DBD"/>
    <w:rsid w:val="48A36EA2"/>
    <w:rsid w:val="48B411AC"/>
    <w:rsid w:val="48BC3E44"/>
    <w:rsid w:val="48CF2936"/>
    <w:rsid w:val="48D06638"/>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33794"/>
    <w:rsid w:val="4A25663F"/>
    <w:rsid w:val="4A316551"/>
    <w:rsid w:val="4A370ACB"/>
    <w:rsid w:val="4A534060"/>
    <w:rsid w:val="4A577272"/>
    <w:rsid w:val="4A5E0E51"/>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14E10"/>
    <w:rsid w:val="4AE467D4"/>
    <w:rsid w:val="4AF53FC1"/>
    <w:rsid w:val="4B047819"/>
    <w:rsid w:val="4B0906B0"/>
    <w:rsid w:val="4B0A2833"/>
    <w:rsid w:val="4B0E4906"/>
    <w:rsid w:val="4B1102E4"/>
    <w:rsid w:val="4B1D10D9"/>
    <w:rsid w:val="4B322F06"/>
    <w:rsid w:val="4B4C6B69"/>
    <w:rsid w:val="4B4F67F4"/>
    <w:rsid w:val="4B59693F"/>
    <w:rsid w:val="4B5A21BE"/>
    <w:rsid w:val="4B616382"/>
    <w:rsid w:val="4B6E0395"/>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50E3"/>
    <w:rsid w:val="4CAD5597"/>
    <w:rsid w:val="4CB56CBB"/>
    <w:rsid w:val="4CBB2A4F"/>
    <w:rsid w:val="4CBF5CB0"/>
    <w:rsid w:val="4CC173B9"/>
    <w:rsid w:val="4CC85F1B"/>
    <w:rsid w:val="4CD174D7"/>
    <w:rsid w:val="4CDC64EB"/>
    <w:rsid w:val="4CEE44C7"/>
    <w:rsid w:val="4CEE61E7"/>
    <w:rsid w:val="4CF678FA"/>
    <w:rsid w:val="4D09383B"/>
    <w:rsid w:val="4D1971E1"/>
    <w:rsid w:val="4D2038DB"/>
    <w:rsid w:val="4D3029B6"/>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52ABB"/>
    <w:rsid w:val="4DD73812"/>
    <w:rsid w:val="4DDC141C"/>
    <w:rsid w:val="4DE27EAA"/>
    <w:rsid w:val="4DEF149C"/>
    <w:rsid w:val="4DF41754"/>
    <w:rsid w:val="4DF958F8"/>
    <w:rsid w:val="4E060933"/>
    <w:rsid w:val="4E0E1D70"/>
    <w:rsid w:val="4E0F02B7"/>
    <w:rsid w:val="4E18189A"/>
    <w:rsid w:val="4E1D1467"/>
    <w:rsid w:val="4E1E12D5"/>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56E75"/>
    <w:rsid w:val="4F481089"/>
    <w:rsid w:val="4F6416B7"/>
    <w:rsid w:val="4F6E3716"/>
    <w:rsid w:val="4F7051D8"/>
    <w:rsid w:val="4F79486D"/>
    <w:rsid w:val="4F7D163B"/>
    <w:rsid w:val="4F8861C3"/>
    <w:rsid w:val="4F9066D0"/>
    <w:rsid w:val="4F947177"/>
    <w:rsid w:val="4FB93D28"/>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AB1568"/>
    <w:rsid w:val="50B30C0A"/>
    <w:rsid w:val="50B633C7"/>
    <w:rsid w:val="50BC16ED"/>
    <w:rsid w:val="50BD42C6"/>
    <w:rsid w:val="50C45232"/>
    <w:rsid w:val="50C51D79"/>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3E33B7"/>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217CDB"/>
    <w:rsid w:val="5237209B"/>
    <w:rsid w:val="523E0931"/>
    <w:rsid w:val="52454DCC"/>
    <w:rsid w:val="52536FBC"/>
    <w:rsid w:val="52637BBA"/>
    <w:rsid w:val="527F092D"/>
    <w:rsid w:val="52831DE3"/>
    <w:rsid w:val="52904060"/>
    <w:rsid w:val="52905B13"/>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873CD"/>
    <w:rsid w:val="54094B89"/>
    <w:rsid w:val="540B314D"/>
    <w:rsid w:val="540D28DF"/>
    <w:rsid w:val="54204707"/>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B645CE"/>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8B26E1"/>
    <w:rsid w:val="558F3461"/>
    <w:rsid w:val="55A176DC"/>
    <w:rsid w:val="55A8066A"/>
    <w:rsid w:val="55A9293A"/>
    <w:rsid w:val="55AC3575"/>
    <w:rsid w:val="55AF1E43"/>
    <w:rsid w:val="55BC3B9A"/>
    <w:rsid w:val="55C017F8"/>
    <w:rsid w:val="55C04DFF"/>
    <w:rsid w:val="55C10D3F"/>
    <w:rsid w:val="55C76DCB"/>
    <w:rsid w:val="55D15396"/>
    <w:rsid w:val="55DF0452"/>
    <w:rsid w:val="55E708CA"/>
    <w:rsid w:val="55F02908"/>
    <w:rsid w:val="56063F85"/>
    <w:rsid w:val="56127BBD"/>
    <w:rsid w:val="561F2496"/>
    <w:rsid w:val="5627421D"/>
    <w:rsid w:val="563520F8"/>
    <w:rsid w:val="56353013"/>
    <w:rsid w:val="563650EB"/>
    <w:rsid w:val="56410432"/>
    <w:rsid w:val="5659302A"/>
    <w:rsid w:val="565E1151"/>
    <w:rsid w:val="567D4F37"/>
    <w:rsid w:val="56922176"/>
    <w:rsid w:val="56961AA7"/>
    <w:rsid w:val="569A075B"/>
    <w:rsid w:val="569E7B17"/>
    <w:rsid w:val="56A42E6A"/>
    <w:rsid w:val="56A7065E"/>
    <w:rsid w:val="56B22127"/>
    <w:rsid w:val="56B63924"/>
    <w:rsid w:val="56B74428"/>
    <w:rsid w:val="56BA6FF6"/>
    <w:rsid w:val="56C001C8"/>
    <w:rsid w:val="56C71151"/>
    <w:rsid w:val="56CE2616"/>
    <w:rsid w:val="56DA0187"/>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170BC"/>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E1CF6"/>
    <w:rsid w:val="591F7B01"/>
    <w:rsid w:val="59314732"/>
    <w:rsid w:val="59411C23"/>
    <w:rsid w:val="5959779D"/>
    <w:rsid w:val="595F2E94"/>
    <w:rsid w:val="59692AF5"/>
    <w:rsid w:val="59734EF0"/>
    <w:rsid w:val="59770D8E"/>
    <w:rsid w:val="597B6782"/>
    <w:rsid w:val="597E75D1"/>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2A6479"/>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8660BC"/>
    <w:rsid w:val="5DA73319"/>
    <w:rsid w:val="5DA80DE1"/>
    <w:rsid w:val="5DB032D9"/>
    <w:rsid w:val="5DB037EE"/>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8E1765"/>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5E280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628AF"/>
    <w:rsid w:val="62C86B2C"/>
    <w:rsid w:val="62E144AD"/>
    <w:rsid w:val="62F706CF"/>
    <w:rsid w:val="62FC3808"/>
    <w:rsid w:val="62FF3974"/>
    <w:rsid w:val="630604B7"/>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B61E78"/>
    <w:rsid w:val="63B84C57"/>
    <w:rsid w:val="63BD4511"/>
    <w:rsid w:val="63DD7EB7"/>
    <w:rsid w:val="63E74C92"/>
    <w:rsid w:val="63F30DA8"/>
    <w:rsid w:val="63F33E26"/>
    <w:rsid w:val="63FE1B4A"/>
    <w:rsid w:val="64002E0C"/>
    <w:rsid w:val="64007173"/>
    <w:rsid w:val="64017940"/>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EB11B2"/>
    <w:rsid w:val="65FD3FFE"/>
    <w:rsid w:val="6603412B"/>
    <w:rsid w:val="660F4461"/>
    <w:rsid w:val="66115155"/>
    <w:rsid w:val="66115188"/>
    <w:rsid w:val="66186D29"/>
    <w:rsid w:val="661C5640"/>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235F4"/>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11EC3"/>
    <w:rsid w:val="68216506"/>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55B7E"/>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B5668"/>
    <w:rsid w:val="6A5B5FCA"/>
    <w:rsid w:val="6A6D30AE"/>
    <w:rsid w:val="6A8901C5"/>
    <w:rsid w:val="6A8B692C"/>
    <w:rsid w:val="6A8E222A"/>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960E7"/>
    <w:rsid w:val="6B6F4786"/>
    <w:rsid w:val="6B792615"/>
    <w:rsid w:val="6B7C0742"/>
    <w:rsid w:val="6B824F92"/>
    <w:rsid w:val="6B863716"/>
    <w:rsid w:val="6B952493"/>
    <w:rsid w:val="6BA36552"/>
    <w:rsid w:val="6BC044D3"/>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1312D5"/>
    <w:rsid w:val="6D155C5C"/>
    <w:rsid w:val="6D203B52"/>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A3D51"/>
    <w:rsid w:val="730A71C7"/>
    <w:rsid w:val="730B1B7F"/>
    <w:rsid w:val="730F52CA"/>
    <w:rsid w:val="731C29AB"/>
    <w:rsid w:val="73255AB2"/>
    <w:rsid w:val="73293C9E"/>
    <w:rsid w:val="732B0F67"/>
    <w:rsid w:val="73314A31"/>
    <w:rsid w:val="733C7A2B"/>
    <w:rsid w:val="73402F17"/>
    <w:rsid w:val="73477783"/>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3F227C"/>
    <w:rsid w:val="75456EBC"/>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878CA"/>
    <w:rsid w:val="767B2BB9"/>
    <w:rsid w:val="76955B84"/>
    <w:rsid w:val="76AB1C47"/>
    <w:rsid w:val="76AB66B8"/>
    <w:rsid w:val="76B50CB7"/>
    <w:rsid w:val="76C14507"/>
    <w:rsid w:val="76C4094C"/>
    <w:rsid w:val="76C6784A"/>
    <w:rsid w:val="76E27910"/>
    <w:rsid w:val="76F015F7"/>
    <w:rsid w:val="76FA3878"/>
    <w:rsid w:val="76FB3DE6"/>
    <w:rsid w:val="76FD35AD"/>
    <w:rsid w:val="77094BDF"/>
    <w:rsid w:val="77111B01"/>
    <w:rsid w:val="77203427"/>
    <w:rsid w:val="77251941"/>
    <w:rsid w:val="772C0E98"/>
    <w:rsid w:val="772F2DA3"/>
    <w:rsid w:val="773176C8"/>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50BF6"/>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37F35"/>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34D04"/>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AFD32D0"/>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B6443A"/>
    <w:rsid w:val="7BCB3ED0"/>
    <w:rsid w:val="7BCC5340"/>
    <w:rsid w:val="7BD60225"/>
    <w:rsid w:val="7BDB6C5E"/>
    <w:rsid w:val="7BDD293F"/>
    <w:rsid w:val="7BDF46E1"/>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C73E5B"/>
    <w:rsid w:val="7DD37458"/>
    <w:rsid w:val="7DD56578"/>
    <w:rsid w:val="7DD64895"/>
    <w:rsid w:val="7DD920E5"/>
    <w:rsid w:val="7DDF76AE"/>
    <w:rsid w:val="7DE35890"/>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E0B6D"/>
    <w:rsid w:val="7FFF11FC"/>
    <w:rsid w:val="F7B2D5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3"/>
    <w:qFormat/>
    <w:uiPriority w:val="9"/>
    <w:pPr>
      <w:keepNext/>
      <w:jc w:val="center"/>
      <w:outlineLvl w:val="0"/>
    </w:pPr>
    <w:rPr>
      <w:b/>
      <w:sz w:val="18"/>
    </w:rPr>
  </w:style>
  <w:style w:type="paragraph" w:styleId="6">
    <w:name w:val="heading 2"/>
    <w:basedOn w:val="1"/>
    <w:next w:val="1"/>
    <w:link w:val="118"/>
    <w:qFormat/>
    <w:uiPriority w:val="0"/>
    <w:pPr>
      <w:keepNext/>
      <w:outlineLvl w:val="1"/>
    </w:pPr>
    <w:rPr>
      <w:b/>
      <w:sz w:val="18"/>
    </w:rPr>
  </w:style>
  <w:style w:type="paragraph" w:styleId="7">
    <w:name w:val="heading 3"/>
    <w:basedOn w:val="1"/>
    <w:next w:val="1"/>
    <w:link w:val="40"/>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8">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5"/>
    <w:qFormat/>
    <w:uiPriority w:val="0"/>
    <w:pPr>
      <w:jc w:val="left"/>
    </w:pPr>
    <w:rPr>
      <w:bCs/>
      <w:sz w:val="18"/>
    </w:r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9">
    <w:name w:val="Normal Indent"/>
    <w:basedOn w:val="1"/>
    <w:link w:val="67"/>
    <w:qFormat/>
    <w:uiPriority w:val="0"/>
    <w:pPr>
      <w:ind w:firstLine="420" w:firstLineChars="200"/>
    </w:pPr>
  </w:style>
  <w:style w:type="paragraph" w:styleId="10">
    <w:name w:val="index 5"/>
    <w:basedOn w:val="1"/>
    <w:next w:val="1"/>
    <w:qFormat/>
    <w:uiPriority w:val="0"/>
    <w:pPr>
      <w:jc w:val="center"/>
    </w:pPr>
    <w:rPr>
      <w:color w:val="FF0000"/>
    </w:rPr>
  </w:style>
  <w:style w:type="paragraph" w:styleId="11">
    <w:name w:val="Document Map"/>
    <w:basedOn w:val="1"/>
    <w:qFormat/>
    <w:uiPriority w:val="0"/>
    <w:pPr>
      <w:shd w:val="clear" w:color="auto" w:fill="000080"/>
    </w:pPr>
  </w:style>
  <w:style w:type="paragraph" w:styleId="12">
    <w:name w:val="annotation text"/>
    <w:basedOn w:val="1"/>
    <w:qFormat/>
    <w:uiPriority w:val="0"/>
    <w:pPr>
      <w:jc w:val="left"/>
    </w:pPr>
  </w:style>
  <w:style w:type="paragraph" w:styleId="13">
    <w:name w:val="index 6"/>
    <w:basedOn w:val="1"/>
    <w:next w:val="1"/>
    <w:qFormat/>
    <w:uiPriority w:val="0"/>
    <w:pPr>
      <w:ind w:left="2100"/>
    </w:pPr>
  </w:style>
  <w:style w:type="paragraph" w:styleId="14">
    <w:name w:val="Salutation"/>
    <w:basedOn w:val="1"/>
    <w:next w:val="1"/>
    <w:qFormat/>
    <w:uiPriority w:val="0"/>
    <w:pPr>
      <w:spacing w:line="540" w:lineRule="exact"/>
    </w:pPr>
    <w:rPr>
      <w:rFonts w:eastAsia="仿宋_GB2312"/>
      <w:spacing w:val="-2"/>
      <w:sz w:val="32"/>
      <w:szCs w:val="20"/>
    </w:rPr>
  </w:style>
  <w:style w:type="paragraph" w:styleId="15">
    <w:name w:val="Body Text Indent"/>
    <w:basedOn w:val="1"/>
    <w:link w:val="56"/>
    <w:qFormat/>
    <w:uiPriority w:val="0"/>
    <w:pPr>
      <w:spacing w:line="360" w:lineRule="exact"/>
      <w:ind w:left="280" w:firstLine="560" w:firstLineChars="200"/>
    </w:pPr>
    <w:rPr>
      <w:rFonts w:ascii="仿宋_GB2312" w:eastAsia="仿宋_GB2312"/>
      <w:sz w:val="28"/>
      <w:szCs w:val="32"/>
    </w:rPr>
  </w:style>
  <w:style w:type="paragraph" w:styleId="16">
    <w:name w:val="List 2"/>
    <w:basedOn w:val="1"/>
    <w:qFormat/>
    <w:uiPriority w:val="99"/>
    <w:pPr>
      <w:ind w:left="100" w:leftChars="200" w:hanging="200" w:hangingChars="200"/>
    </w:pPr>
  </w:style>
  <w:style w:type="paragraph" w:styleId="17">
    <w:name w:val="Plain Text"/>
    <w:basedOn w:val="1"/>
    <w:next w:val="13"/>
    <w:link w:val="60"/>
    <w:qFormat/>
    <w:uiPriority w:val="0"/>
    <w:pPr>
      <w:widowControl/>
      <w:jc w:val="left"/>
    </w:pPr>
    <w:rPr>
      <w:rFonts w:ascii="宋体" w:hAnsi="Courier New"/>
      <w:kern w:val="0"/>
      <w:sz w:val="20"/>
      <w:szCs w:val="20"/>
    </w:rPr>
  </w:style>
  <w:style w:type="paragraph" w:styleId="18">
    <w:name w:val="Date"/>
    <w:basedOn w:val="1"/>
    <w:next w:val="1"/>
    <w:qFormat/>
    <w:uiPriority w:val="0"/>
    <w:pPr>
      <w:ind w:left="100" w:leftChars="2500"/>
    </w:pPr>
  </w:style>
  <w:style w:type="paragraph" w:styleId="19">
    <w:name w:val="Body Text Indent 2"/>
    <w:basedOn w:val="1"/>
    <w:link w:val="80"/>
    <w:qFormat/>
    <w:uiPriority w:val="0"/>
    <w:pPr>
      <w:spacing w:after="120" w:line="480" w:lineRule="auto"/>
      <w:ind w:left="420" w:leftChars="200"/>
    </w:pPr>
  </w:style>
  <w:style w:type="paragraph" w:styleId="20">
    <w:name w:val="Balloon Text"/>
    <w:basedOn w:val="1"/>
    <w:link w:val="59"/>
    <w:qFormat/>
    <w:uiPriority w:val="0"/>
    <w:rPr>
      <w:sz w:val="18"/>
      <w:szCs w:val="18"/>
    </w:rPr>
  </w:style>
  <w:style w:type="paragraph" w:styleId="21">
    <w:name w:val="footer"/>
    <w:basedOn w:val="1"/>
    <w:link w:val="57"/>
    <w:qFormat/>
    <w:uiPriority w:val="0"/>
    <w:pPr>
      <w:tabs>
        <w:tab w:val="center" w:pos="4153"/>
        <w:tab w:val="right" w:pos="8306"/>
      </w:tabs>
      <w:snapToGrid w:val="0"/>
      <w:jc w:val="left"/>
    </w:pPr>
    <w:rPr>
      <w:sz w:val="18"/>
      <w:szCs w:val="18"/>
    </w:rPr>
  </w:style>
  <w:style w:type="paragraph" w:styleId="22">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5">
    <w:name w:val="Normal (Web)"/>
    <w:basedOn w:val="1"/>
    <w:qFormat/>
    <w:uiPriority w:val="0"/>
    <w:pPr>
      <w:widowControl/>
      <w:spacing w:before="150" w:after="150"/>
      <w:jc w:val="left"/>
    </w:pPr>
    <w:rPr>
      <w:rFonts w:ascii="宋体" w:hAnsi="宋体" w:cs="宋体"/>
      <w:kern w:val="0"/>
      <w:sz w:val="24"/>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page number"/>
    <w:basedOn w:val="28"/>
    <w:qFormat/>
    <w:uiPriority w:val="0"/>
  </w:style>
  <w:style w:type="character" w:styleId="31">
    <w:name w:val="Emphasis"/>
    <w:qFormat/>
    <w:uiPriority w:val="0"/>
  </w:style>
  <w:style w:type="character" w:styleId="32">
    <w:name w:val="HTML Definition"/>
    <w:qFormat/>
    <w:uiPriority w:val="0"/>
  </w:style>
  <w:style w:type="character" w:styleId="33">
    <w:name w:val="HTML Variable"/>
    <w:qFormat/>
    <w:uiPriority w:val="0"/>
  </w:style>
  <w:style w:type="character" w:styleId="34">
    <w:name w:val="Hyperlink"/>
    <w:qFormat/>
    <w:uiPriority w:val="99"/>
    <w:rPr>
      <w:rFonts w:hint="default" w:ascii="ˎ̥" w:hAnsi="ˎ̥"/>
      <w:color w:val="000000"/>
      <w:sz w:val="18"/>
      <w:szCs w:val="18"/>
      <w:u w:val="none"/>
    </w:rPr>
  </w:style>
  <w:style w:type="character" w:styleId="35">
    <w:name w:val="HTML Code"/>
    <w:qFormat/>
    <w:uiPriority w:val="0"/>
    <w:rPr>
      <w:rFonts w:ascii="Courier New" w:hAnsi="Courier New"/>
      <w:sz w:val="20"/>
    </w:rPr>
  </w:style>
  <w:style w:type="character" w:styleId="36">
    <w:name w:val="HTML Cite"/>
    <w:qFormat/>
    <w:uiPriority w:val="0"/>
  </w:style>
  <w:style w:type="character" w:customStyle="1" w:styleId="37">
    <w:name w:val="一级标题 Char"/>
    <w:link w:val="38"/>
    <w:qFormat/>
    <w:uiPriority w:val="0"/>
    <w:rPr>
      <w:rFonts w:ascii="楷体_GB2312" w:hAnsi="宋体" w:eastAsia="楷体_GB2312"/>
      <w:b/>
      <w:sz w:val="28"/>
      <w:szCs w:val="24"/>
    </w:rPr>
  </w:style>
  <w:style w:type="paragraph" w:customStyle="1" w:styleId="38">
    <w:name w:val="一级标题"/>
    <w:basedOn w:val="1"/>
    <w:link w:val="37"/>
    <w:qFormat/>
    <w:uiPriority w:val="0"/>
    <w:pPr>
      <w:widowControl/>
      <w:spacing w:line="560" w:lineRule="exact"/>
      <w:jc w:val="left"/>
      <w:outlineLvl w:val="0"/>
    </w:pPr>
    <w:rPr>
      <w:rFonts w:ascii="楷体_GB2312" w:hAnsi="宋体" w:eastAsia="楷体_GB2312"/>
      <w:b/>
      <w:kern w:val="0"/>
      <w:sz w:val="28"/>
    </w:rPr>
  </w:style>
  <w:style w:type="character" w:customStyle="1" w:styleId="39">
    <w:name w:val="modifier"/>
    <w:qFormat/>
    <w:uiPriority w:val="0"/>
    <w:rPr>
      <w:color w:val="FF0000"/>
    </w:rPr>
  </w:style>
  <w:style w:type="character" w:customStyle="1" w:styleId="40">
    <w:name w:val="标题 3 Char"/>
    <w:link w:val="7"/>
    <w:qFormat/>
    <w:uiPriority w:val="0"/>
    <w:rPr>
      <w:rFonts w:ascii="Tahoma" w:hAnsi="Tahoma" w:eastAsia="微软雅黑"/>
      <w:b/>
      <w:bCs/>
      <w:sz w:val="32"/>
      <w:szCs w:val="32"/>
    </w:rPr>
  </w:style>
  <w:style w:type="character" w:customStyle="1" w:styleId="41">
    <w:name w:val="font01"/>
    <w:qFormat/>
    <w:uiPriority w:val="0"/>
    <w:rPr>
      <w:rFonts w:hint="eastAsia" w:ascii="宋体" w:hAnsi="宋体" w:eastAsia="宋体" w:cs="宋体"/>
      <w:color w:val="FF0000"/>
      <w:sz w:val="20"/>
      <w:szCs w:val="20"/>
      <w:u w:val="none"/>
    </w:rPr>
  </w:style>
  <w:style w:type="character" w:customStyle="1" w:styleId="42">
    <w:name w:val="无间隔 Char"/>
    <w:link w:val="43"/>
    <w:qFormat/>
    <w:uiPriority w:val="1"/>
    <w:rPr>
      <w:sz w:val="22"/>
      <w:szCs w:val="22"/>
      <w:lang w:val="en-US" w:eastAsia="zh-CN" w:bidi="ar-SA"/>
    </w:rPr>
  </w:style>
  <w:style w:type="paragraph" w:styleId="43">
    <w:name w:val="No Spacing"/>
    <w:link w:val="42"/>
    <w:qFormat/>
    <w:uiPriority w:val="1"/>
    <w:rPr>
      <w:rFonts w:ascii="Times New Roman" w:hAnsi="Times New Roman" w:eastAsia="宋体" w:cs="Times New Roman"/>
      <w:sz w:val="22"/>
      <w:szCs w:val="22"/>
      <w:lang w:val="en-US" w:eastAsia="zh-CN" w:bidi="ar-SA"/>
    </w:rPr>
  </w:style>
  <w:style w:type="character" w:customStyle="1" w:styleId="44">
    <w:name w:val="纯文本 Char1"/>
    <w:qFormat/>
    <w:uiPriority w:val="99"/>
    <w:rPr>
      <w:rFonts w:ascii="宋体" w:hAnsi="Courier New" w:cs="Courier New"/>
      <w:kern w:val="2"/>
      <w:sz w:val="21"/>
      <w:szCs w:val="21"/>
    </w:rPr>
  </w:style>
  <w:style w:type="character" w:customStyle="1" w:styleId="45">
    <w:name w:val="正文文本 Char"/>
    <w:link w:val="2"/>
    <w:qFormat/>
    <w:uiPriority w:val="0"/>
    <w:rPr>
      <w:bCs/>
      <w:kern w:val="2"/>
      <w:sz w:val="18"/>
      <w:szCs w:val="24"/>
    </w:rPr>
  </w:style>
  <w:style w:type="character" w:customStyle="1" w:styleId="46">
    <w:name w:val="访问过的超链接1"/>
    <w:qFormat/>
    <w:uiPriority w:val="0"/>
    <w:rPr>
      <w:color w:val="333333"/>
      <w:u w:val="none"/>
    </w:rPr>
  </w:style>
  <w:style w:type="character" w:customStyle="1" w:styleId="47">
    <w:name w:val="UP正文 Char Char"/>
    <w:link w:val="48"/>
    <w:qFormat/>
    <w:uiPriority w:val="0"/>
    <w:rPr>
      <w:rFonts w:ascii="Tahoma" w:eastAsia="宋体"/>
      <w:kern w:val="2"/>
      <w:sz w:val="21"/>
      <w:lang w:bidi="ar-SA"/>
    </w:rPr>
  </w:style>
  <w:style w:type="paragraph" w:customStyle="1" w:styleId="48">
    <w:name w:val="UP正文"/>
    <w:basedOn w:val="1"/>
    <w:link w:val="47"/>
    <w:qFormat/>
    <w:uiPriority w:val="0"/>
    <w:pPr>
      <w:spacing w:line="360" w:lineRule="auto"/>
      <w:ind w:left="420" w:leftChars="200" w:firstLine="420" w:firstLineChars="200"/>
    </w:pPr>
    <w:rPr>
      <w:rFonts w:ascii="Tahoma"/>
      <w:szCs w:val="20"/>
    </w:rPr>
  </w:style>
  <w:style w:type="character" w:customStyle="1" w:styleId="49">
    <w:name w:val="正文文本首行缩进 字符"/>
    <w:basedOn w:val="45"/>
    <w:link w:val="50"/>
    <w:qFormat/>
    <w:uiPriority w:val="0"/>
    <w:rPr>
      <w:kern w:val="2"/>
      <w:sz w:val="18"/>
      <w:szCs w:val="24"/>
    </w:rPr>
  </w:style>
  <w:style w:type="paragraph" w:customStyle="1" w:styleId="50">
    <w:name w:val="正文文本首行缩进"/>
    <w:basedOn w:val="2"/>
    <w:link w:val="49"/>
    <w:qFormat/>
    <w:uiPriority w:val="0"/>
    <w:pPr>
      <w:spacing w:after="120"/>
      <w:ind w:firstLine="420" w:firstLineChars="100"/>
      <w:jc w:val="both"/>
    </w:pPr>
  </w:style>
  <w:style w:type="character" w:customStyle="1" w:styleId="51">
    <w:name w:val="style111"/>
    <w:qFormat/>
    <w:uiPriority w:val="0"/>
    <w:rPr>
      <w:sz w:val="24"/>
      <w:szCs w:val="24"/>
    </w:rPr>
  </w:style>
  <w:style w:type="character" w:customStyle="1" w:styleId="52">
    <w:name w:val="font31"/>
    <w:basedOn w:val="28"/>
    <w:qFormat/>
    <w:uiPriority w:val="0"/>
    <w:rPr>
      <w:rFonts w:hint="eastAsia" w:ascii="宋体" w:hAnsi="宋体" w:eastAsia="宋体" w:cs="宋体"/>
      <w:color w:val="000000"/>
      <w:sz w:val="22"/>
      <w:szCs w:val="22"/>
      <w:u w:val="none"/>
    </w:rPr>
  </w:style>
  <w:style w:type="character" w:customStyle="1" w:styleId="53">
    <w:name w:val="ca-3"/>
    <w:basedOn w:val="28"/>
    <w:qFormat/>
    <w:uiPriority w:val="0"/>
  </w:style>
  <w:style w:type="character" w:customStyle="1" w:styleId="54">
    <w:name w:val="列出段落 Char"/>
    <w:link w:val="55"/>
    <w:qFormat/>
    <w:uiPriority w:val="0"/>
    <w:rPr>
      <w:kern w:val="2"/>
      <w:sz w:val="21"/>
      <w:szCs w:val="22"/>
    </w:rPr>
  </w:style>
  <w:style w:type="paragraph" w:customStyle="1" w:styleId="55">
    <w:name w:val="列出段落2"/>
    <w:basedOn w:val="1"/>
    <w:link w:val="54"/>
    <w:qFormat/>
    <w:uiPriority w:val="0"/>
    <w:pPr>
      <w:ind w:firstLine="420" w:firstLineChars="200"/>
    </w:pPr>
    <w:rPr>
      <w:szCs w:val="22"/>
    </w:rPr>
  </w:style>
  <w:style w:type="character" w:customStyle="1" w:styleId="56">
    <w:name w:val="正文文本缩进 Char"/>
    <w:link w:val="15"/>
    <w:qFormat/>
    <w:uiPriority w:val="0"/>
    <w:rPr>
      <w:rFonts w:ascii="仿宋_GB2312" w:eastAsia="仿宋_GB2312"/>
      <w:kern w:val="2"/>
      <w:sz w:val="28"/>
      <w:szCs w:val="32"/>
    </w:rPr>
  </w:style>
  <w:style w:type="character" w:customStyle="1" w:styleId="57">
    <w:name w:val="页脚 Char"/>
    <w:link w:val="21"/>
    <w:qFormat/>
    <w:uiPriority w:val="99"/>
    <w:rPr>
      <w:kern w:val="2"/>
      <w:sz w:val="18"/>
      <w:szCs w:val="18"/>
    </w:rPr>
  </w:style>
  <w:style w:type="character" w:customStyle="1" w:styleId="58">
    <w:name w:val="正文文本缩进 字符1"/>
    <w:semiHidden/>
    <w:qFormat/>
    <w:uiPriority w:val="99"/>
  </w:style>
  <w:style w:type="character" w:customStyle="1" w:styleId="59">
    <w:name w:val="批注框文本 Char"/>
    <w:link w:val="20"/>
    <w:qFormat/>
    <w:uiPriority w:val="0"/>
    <w:rPr>
      <w:kern w:val="2"/>
      <w:sz w:val="18"/>
      <w:szCs w:val="18"/>
    </w:rPr>
  </w:style>
  <w:style w:type="character" w:customStyle="1" w:styleId="60">
    <w:name w:val="纯文本 Char"/>
    <w:link w:val="17"/>
    <w:qFormat/>
    <w:uiPriority w:val="0"/>
    <w:rPr>
      <w:rFonts w:ascii="宋体" w:hAnsi="Courier New"/>
    </w:rPr>
  </w:style>
  <w:style w:type="character" w:customStyle="1" w:styleId="61">
    <w:name w:val="hei13b1"/>
    <w:qFormat/>
    <w:uiPriority w:val="0"/>
    <w:rPr>
      <w:rFonts w:hint="default" w:ascii="Arial" w:hAnsi="Arial" w:cs="Arial"/>
      <w:b/>
      <w:bCs/>
      <w:color w:val="000000"/>
      <w:sz w:val="20"/>
      <w:szCs w:val="20"/>
    </w:rPr>
  </w:style>
  <w:style w:type="character" w:customStyle="1" w:styleId="62">
    <w:name w:val="表格文字 Char"/>
    <w:link w:val="63"/>
    <w:qFormat/>
    <w:uiPriority w:val="0"/>
    <w:rPr>
      <w:bCs/>
      <w:spacing w:val="10"/>
      <w:kern w:val="0"/>
      <w:sz w:val="24"/>
      <w:szCs w:val="20"/>
    </w:rPr>
  </w:style>
  <w:style w:type="paragraph" w:customStyle="1" w:styleId="63">
    <w:name w:val="表格文字"/>
    <w:basedOn w:val="1"/>
    <w:link w:val="62"/>
    <w:qFormat/>
    <w:uiPriority w:val="0"/>
    <w:pPr>
      <w:spacing w:before="25" w:after="25"/>
      <w:jc w:val="left"/>
    </w:pPr>
    <w:rPr>
      <w:bCs/>
      <w:spacing w:val="10"/>
      <w:kern w:val="0"/>
      <w:sz w:val="24"/>
      <w:szCs w:val="20"/>
    </w:rPr>
  </w:style>
  <w:style w:type="character" w:customStyle="1" w:styleId="64">
    <w:name w:val="label"/>
    <w:qFormat/>
    <w:uiPriority w:val="0"/>
    <w:rPr>
      <w:color w:val="555555"/>
    </w:rPr>
  </w:style>
  <w:style w:type="character" w:customStyle="1" w:styleId="65">
    <w:name w:val="font11"/>
    <w:basedOn w:val="28"/>
    <w:qFormat/>
    <w:uiPriority w:val="0"/>
    <w:rPr>
      <w:rFonts w:hint="default" w:ascii="Times New Roman" w:hAnsi="Times New Roman" w:cs="Times New Roman"/>
      <w:color w:val="000000"/>
      <w:sz w:val="20"/>
      <w:szCs w:val="20"/>
      <w:u w:val="none"/>
    </w:rPr>
  </w:style>
  <w:style w:type="character" w:customStyle="1" w:styleId="66">
    <w:name w:val="font21"/>
    <w:basedOn w:val="28"/>
    <w:qFormat/>
    <w:uiPriority w:val="0"/>
    <w:rPr>
      <w:rFonts w:hint="eastAsia" w:ascii="宋体" w:hAnsi="宋体" w:eastAsia="宋体" w:cs="宋体"/>
      <w:color w:val="000000"/>
      <w:sz w:val="20"/>
      <w:szCs w:val="20"/>
      <w:u w:val="none"/>
    </w:rPr>
  </w:style>
  <w:style w:type="character" w:customStyle="1" w:styleId="67">
    <w:name w:val="正文缩进 Char"/>
    <w:link w:val="9"/>
    <w:qFormat/>
    <w:uiPriority w:val="0"/>
    <w:rPr>
      <w:rFonts w:eastAsia="宋体"/>
      <w:kern w:val="2"/>
      <w:sz w:val="21"/>
      <w:szCs w:val="24"/>
      <w:lang w:val="en-US" w:eastAsia="zh-CN" w:bidi="ar-SA"/>
    </w:rPr>
  </w:style>
  <w:style w:type="character" w:customStyle="1" w:styleId="68">
    <w:name w:val="ca-1"/>
    <w:basedOn w:val="28"/>
    <w:qFormat/>
    <w:uiPriority w:val="0"/>
  </w:style>
  <w:style w:type="character" w:customStyle="1" w:styleId="69">
    <w:name w:val="apple-converted-space"/>
    <w:basedOn w:val="28"/>
    <w:qFormat/>
    <w:uiPriority w:val="0"/>
  </w:style>
  <w:style w:type="character" w:customStyle="1" w:styleId="70">
    <w:name w:val="UP标题3 Char Char"/>
    <w:link w:val="71"/>
    <w:qFormat/>
    <w:uiPriority w:val="0"/>
    <w:rPr>
      <w:rFonts w:ascii="黑体" w:eastAsia="黑体"/>
      <w:kern w:val="2"/>
      <w:sz w:val="28"/>
      <w:szCs w:val="28"/>
      <w:lang w:bidi="ar-SA"/>
    </w:rPr>
  </w:style>
  <w:style w:type="paragraph" w:customStyle="1" w:styleId="71">
    <w:name w:val="UP标题3"/>
    <w:basedOn w:val="1"/>
    <w:link w:val="70"/>
    <w:qFormat/>
    <w:uiPriority w:val="0"/>
    <w:pPr>
      <w:spacing w:line="360" w:lineRule="auto"/>
      <w:ind w:firstLine="149" w:firstLineChars="149"/>
    </w:pPr>
    <w:rPr>
      <w:rFonts w:ascii="黑体" w:eastAsia="黑体"/>
      <w:sz w:val="28"/>
      <w:szCs w:val="28"/>
    </w:rPr>
  </w:style>
  <w:style w:type="character" w:customStyle="1" w:styleId="72">
    <w:name w:val="article1"/>
    <w:qFormat/>
    <w:uiPriority w:val="0"/>
    <w:rPr>
      <w:sz w:val="21"/>
      <w:szCs w:val="21"/>
    </w:rPr>
  </w:style>
  <w:style w:type="character" w:customStyle="1" w:styleId="73">
    <w:name w:val="标题 1 Char"/>
    <w:link w:val="5"/>
    <w:qFormat/>
    <w:uiPriority w:val="9"/>
    <w:rPr>
      <w:rFonts w:eastAsia="宋体"/>
      <w:b/>
      <w:kern w:val="2"/>
      <w:sz w:val="18"/>
      <w:szCs w:val="24"/>
      <w:lang w:val="en-US" w:eastAsia="zh-CN" w:bidi="ar-SA"/>
    </w:rPr>
  </w:style>
  <w:style w:type="character" w:customStyle="1" w:styleId="74">
    <w:name w:val="页眉 Char"/>
    <w:link w:val="22"/>
    <w:qFormat/>
    <w:uiPriority w:val="99"/>
    <w:rPr>
      <w:kern w:val="2"/>
      <w:sz w:val="18"/>
      <w:szCs w:val="18"/>
    </w:rPr>
  </w:style>
  <w:style w:type="character" w:customStyle="1" w:styleId="75">
    <w:name w:val="ca-4"/>
    <w:basedOn w:val="28"/>
    <w:qFormat/>
    <w:uiPriority w:val="0"/>
  </w:style>
  <w:style w:type="character" w:customStyle="1" w:styleId="76">
    <w:name w:val="apple-style-span"/>
    <w:basedOn w:val="28"/>
    <w:qFormat/>
    <w:uiPriority w:val="0"/>
  </w:style>
  <w:style w:type="character" w:customStyle="1" w:styleId="77">
    <w:name w:val="mark12"/>
    <w:basedOn w:val="28"/>
    <w:qFormat/>
    <w:uiPriority w:val="0"/>
  </w:style>
  <w:style w:type="character" w:customStyle="1" w:styleId="78">
    <w:name w:val="标题 2 字符"/>
    <w:link w:val="6"/>
    <w:qFormat/>
    <w:uiPriority w:val="0"/>
    <w:rPr>
      <w:b/>
      <w:kern w:val="2"/>
      <w:sz w:val="18"/>
      <w:szCs w:val="24"/>
    </w:rPr>
  </w:style>
  <w:style w:type="character" w:customStyle="1" w:styleId="79">
    <w:name w:val="ca-2"/>
    <w:basedOn w:val="28"/>
    <w:qFormat/>
    <w:uiPriority w:val="0"/>
  </w:style>
  <w:style w:type="character" w:customStyle="1" w:styleId="80">
    <w:name w:val="正文文本缩进 2 Char"/>
    <w:link w:val="19"/>
    <w:qFormat/>
    <w:uiPriority w:val="0"/>
    <w:rPr>
      <w:kern w:val="2"/>
      <w:sz w:val="21"/>
      <w:szCs w:val="24"/>
    </w:rPr>
  </w:style>
  <w:style w:type="paragraph" w:customStyle="1" w:styleId="81">
    <w:name w:val="纯文本1"/>
    <w:basedOn w:val="1"/>
    <w:qFormat/>
    <w:uiPriority w:val="0"/>
    <w:rPr>
      <w:rFonts w:ascii="宋体" w:hAnsi="Courier New"/>
      <w:szCs w:val="21"/>
    </w:rPr>
  </w:style>
  <w:style w:type="paragraph" w:customStyle="1" w:styleId="8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3">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4">
    <w:name w:val="列出段落1"/>
    <w:basedOn w:val="1"/>
    <w:unhideWhenUsed/>
    <w:qFormat/>
    <w:uiPriority w:val="99"/>
    <w:pPr>
      <w:ind w:firstLine="420" w:firstLineChars="200"/>
    </w:pPr>
    <w:rPr>
      <w:rFonts w:ascii="宋体" w:hAnsi="Calibri"/>
      <w:kern w:val="0"/>
      <w:sz w:val="34"/>
      <w:szCs w:val="22"/>
    </w:rPr>
  </w:style>
  <w:style w:type="paragraph" w:customStyle="1" w:styleId="85">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6">
    <w:name w:val="Char1"/>
    <w:basedOn w:val="1"/>
    <w:qFormat/>
    <w:uiPriority w:val="0"/>
    <w:pPr>
      <w:ind w:left="359" w:leftChars="171" w:firstLine="560" w:firstLineChars="200"/>
    </w:pPr>
  </w:style>
  <w:style w:type="paragraph" w:customStyle="1" w:styleId="87">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8">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9">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_Style 3"/>
    <w:basedOn w:val="1"/>
    <w:qFormat/>
    <w:uiPriority w:val="34"/>
    <w:pPr>
      <w:ind w:firstLine="420" w:firstLineChars="200"/>
    </w:pPr>
    <w:rPr>
      <w:rFonts w:ascii="Calibri" w:hAnsi="Calibri"/>
      <w:kern w:val="0"/>
      <w:sz w:val="34"/>
    </w:rPr>
  </w:style>
  <w:style w:type="paragraph" w:customStyle="1" w:styleId="91">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2">
    <w:name w:val="目录 11"/>
    <w:basedOn w:val="1"/>
    <w:next w:val="1"/>
    <w:qFormat/>
    <w:uiPriority w:val="39"/>
    <w:rPr>
      <w:rFonts w:ascii="宋体" w:hAnsi="Calibri"/>
      <w:kern w:val="0"/>
      <w:sz w:val="34"/>
      <w:szCs w:val="22"/>
    </w:rPr>
  </w:style>
  <w:style w:type="paragraph" w:customStyle="1" w:styleId="93">
    <w:name w:val="pa-3"/>
    <w:basedOn w:val="1"/>
    <w:qFormat/>
    <w:uiPriority w:val="0"/>
    <w:pPr>
      <w:widowControl/>
      <w:spacing w:before="150" w:after="150"/>
      <w:jc w:val="left"/>
    </w:pPr>
    <w:rPr>
      <w:rFonts w:ascii="宋体" w:hAnsi="宋体" w:cs="宋体"/>
      <w:kern w:val="0"/>
      <w:sz w:val="24"/>
    </w:rPr>
  </w:style>
  <w:style w:type="paragraph" w:customStyle="1" w:styleId="94">
    <w:name w:val="p17"/>
    <w:basedOn w:val="1"/>
    <w:qFormat/>
    <w:uiPriority w:val="0"/>
    <w:pPr>
      <w:widowControl/>
    </w:pPr>
    <w:rPr>
      <w:rFonts w:ascii="宋体" w:hAnsi="宋体" w:cs="宋体"/>
      <w:kern w:val="0"/>
      <w:szCs w:val="21"/>
    </w:rPr>
  </w:style>
  <w:style w:type="paragraph" w:customStyle="1" w:styleId="95">
    <w:name w:val="pa-2"/>
    <w:basedOn w:val="1"/>
    <w:qFormat/>
    <w:uiPriority w:val="0"/>
    <w:pPr>
      <w:widowControl/>
      <w:spacing w:before="150" w:after="150"/>
      <w:jc w:val="left"/>
    </w:pPr>
    <w:rPr>
      <w:rFonts w:ascii="宋体" w:hAnsi="宋体" w:cs="宋体"/>
      <w:kern w:val="0"/>
      <w:sz w:val="24"/>
    </w:rPr>
  </w:style>
  <w:style w:type="paragraph" w:customStyle="1" w:styleId="96">
    <w:name w:val="样式 首行缩进:  2 字符"/>
    <w:basedOn w:val="1"/>
    <w:qFormat/>
    <w:uiPriority w:val="0"/>
    <w:pPr>
      <w:spacing w:line="400" w:lineRule="exact"/>
      <w:ind w:firstLine="200" w:firstLineChars="200"/>
    </w:pPr>
    <w:rPr>
      <w:rFonts w:cs="宋体"/>
      <w:sz w:val="24"/>
    </w:rPr>
  </w:style>
  <w:style w:type="paragraph" w:customStyle="1" w:styleId="97">
    <w:name w:val="表格"/>
    <w:basedOn w:val="1"/>
    <w:qFormat/>
    <w:uiPriority w:val="0"/>
    <w:pPr>
      <w:spacing w:line="400" w:lineRule="exact"/>
    </w:pPr>
    <w:rPr>
      <w:rFonts w:ascii="宋体" w:hAnsi="Calibri"/>
      <w:kern w:val="0"/>
      <w:sz w:val="24"/>
      <w:szCs w:val="22"/>
    </w:rPr>
  </w:style>
  <w:style w:type="paragraph" w:customStyle="1" w:styleId="98">
    <w:name w:val="pa-4"/>
    <w:basedOn w:val="1"/>
    <w:qFormat/>
    <w:uiPriority w:val="0"/>
    <w:pPr>
      <w:widowControl/>
      <w:spacing w:before="150" w:after="150"/>
      <w:jc w:val="left"/>
    </w:pPr>
    <w:rPr>
      <w:rFonts w:ascii="宋体" w:hAnsi="宋体" w:cs="宋体"/>
      <w:kern w:val="0"/>
      <w:sz w:val="24"/>
    </w:rPr>
  </w:style>
  <w:style w:type="paragraph" w:customStyle="1" w:styleId="99">
    <w:name w:val="列表段落"/>
    <w:basedOn w:val="1"/>
    <w:qFormat/>
    <w:uiPriority w:val="0"/>
    <w:pPr>
      <w:ind w:firstLine="420" w:firstLineChars="200"/>
    </w:pPr>
  </w:style>
  <w:style w:type="paragraph" w:customStyle="1" w:styleId="100">
    <w:name w:val="p15"/>
    <w:basedOn w:val="1"/>
    <w:qFormat/>
    <w:uiPriority w:val="0"/>
    <w:pPr>
      <w:widowControl/>
      <w:spacing w:before="100" w:after="100" w:line="360" w:lineRule="auto"/>
    </w:pPr>
    <w:rPr>
      <w:rFonts w:ascii="宋体" w:hAnsi="宋体" w:cs="宋体"/>
      <w:kern w:val="0"/>
      <w:sz w:val="24"/>
    </w:rPr>
  </w:style>
  <w:style w:type="paragraph" w:customStyle="1" w:styleId="101">
    <w:name w:val="Char"/>
    <w:basedOn w:val="1"/>
    <w:qFormat/>
    <w:uiPriority w:val="0"/>
    <w:pPr>
      <w:spacing w:line="240" w:lineRule="atLeast"/>
      <w:ind w:left="420" w:firstLine="420"/>
    </w:pPr>
  </w:style>
  <w:style w:type="paragraph" w:customStyle="1" w:styleId="10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3">
    <w:name w:val="Table Paragraph"/>
    <w:basedOn w:val="1"/>
    <w:qFormat/>
    <w:uiPriority w:val="1"/>
    <w:rPr>
      <w:rFonts w:ascii="Noto Sans CJK JP Regular" w:hAnsi="Noto Sans CJK JP Regular" w:eastAsia="Noto Sans CJK JP Regular" w:cs="Noto Sans CJK JP Regular"/>
    </w:rPr>
  </w:style>
  <w:style w:type="paragraph" w:customStyle="1" w:styleId="104">
    <w:name w:val="Char Char Char Char"/>
    <w:basedOn w:val="11"/>
    <w:qFormat/>
    <w:uiPriority w:val="0"/>
    <w:pPr>
      <w:adjustRightInd w:val="0"/>
      <w:snapToGrid w:val="0"/>
      <w:spacing w:line="360" w:lineRule="auto"/>
    </w:pPr>
    <w:rPr>
      <w:rFonts w:ascii="仿宋_GB2312" w:eastAsia="仿宋_GB2312"/>
      <w:sz w:val="24"/>
    </w:rPr>
  </w:style>
  <w:style w:type="paragraph" w:customStyle="1" w:styleId="105">
    <w:name w:val="_Style 1"/>
    <w:basedOn w:val="1"/>
    <w:qFormat/>
    <w:uiPriority w:val="0"/>
    <w:pPr>
      <w:ind w:firstLine="420" w:firstLineChars="200"/>
    </w:pPr>
    <w:rPr>
      <w:sz w:val="18"/>
      <w:szCs w:val="18"/>
    </w:rPr>
  </w:style>
  <w:style w:type="paragraph" w:customStyle="1" w:styleId="106">
    <w:name w:val="p0"/>
    <w:basedOn w:val="1"/>
    <w:qFormat/>
    <w:uiPriority w:val="0"/>
    <w:pPr>
      <w:widowControl/>
    </w:pPr>
    <w:rPr>
      <w:rFonts w:ascii="Calibri" w:hAnsi="Calibri" w:cs="宋体"/>
      <w:kern w:val="0"/>
      <w:szCs w:val="21"/>
    </w:rPr>
  </w:style>
  <w:style w:type="paragraph" w:customStyle="1" w:styleId="107">
    <w:name w:val="pa-6"/>
    <w:basedOn w:val="1"/>
    <w:qFormat/>
    <w:uiPriority w:val="0"/>
    <w:pPr>
      <w:widowControl/>
      <w:spacing w:before="150" w:after="150"/>
      <w:jc w:val="left"/>
    </w:pPr>
    <w:rPr>
      <w:rFonts w:ascii="宋体" w:hAnsi="宋体" w:cs="宋体"/>
      <w:kern w:val="0"/>
      <w:sz w:val="24"/>
    </w:rPr>
  </w:style>
  <w:style w:type="paragraph" w:customStyle="1" w:styleId="108">
    <w:name w:val="_正文段落"/>
    <w:basedOn w:val="1"/>
    <w:qFormat/>
    <w:uiPriority w:val="0"/>
    <w:pPr>
      <w:spacing w:line="360" w:lineRule="auto"/>
    </w:pPr>
    <w:rPr>
      <w:rFonts w:ascii="宋体" w:eastAsia="仿宋_GB2312"/>
      <w:kern w:val="0"/>
      <w:sz w:val="28"/>
    </w:rPr>
  </w:style>
  <w:style w:type="paragraph" w:customStyle="1" w:styleId="109">
    <w:name w:val="pa-1"/>
    <w:basedOn w:val="1"/>
    <w:qFormat/>
    <w:uiPriority w:val="0"/>
    <w:pPr>
      <w:widowControl/>
      <w:spacing w:before="150" w:after="150"/>
      <w:jc w:val="left"/>
    </w:pPr>
    <w:rPr>
      <w:rFonts w:ascii="宋体" w:hAnsi="宋体" w:cs="宋体"/>
      <w:kern w:val="0"/>
      <w:sz w:val="24"/>
    </w:rPr>
  </w:style>
  <w:style w:type="paragraph" w:customStyle="1" w:styleId="110">
    <w:name w:val="pa-0"/>
    <w:basedOn w:val="1"/>
    <w:qFormat/>
    <w:uiPriority w:val="0"/>
    <w:pPr>
      <w:widowControl/>
      <w:spacing w:before="150" w:after="150"/>
      <w:jc w:val="left"/>
    </w:pPr>
    <w:rPr>
      <w:rFonts w:ascii="宋体" w:hAnsi="宋体" w:cs="宋体"/>
      <w:kern w:val="0"/>
      <w:sz w:val="24"/>
    </w:rPr>
  </w:style>
  <w:style w:type="paragraph" w:customStyle="1" w:styleId="111">
    <w:name w:val="列出段落3"/>
    <w:basedOn w:val="1"/>
    <w:qFormat/>
    <w:uiPriority w:val="99"/>
    <w:pPr>
      <w:ind w:firstLine="420" w:firstLineChars="200"/>
    </w:pPr>
  </w:style>
  <w:style w:type="paragraph" w:customStyle="1" w:styleId="112">
    <w:name w:val="列出段落4"/>
    <w:basedOn w:val="1"/>
    <w:qFormat/>
    <w:uiPriority w:val="99"/>
    <w:pPr>
      <w:ind w:firstLine="420" w:firstLineChars="200"/>
    </w:pPr>
  </w:style>
  <w:style w:type="paragraph" w:customStyle="1" w:styleId="1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4">
    <w:name w:val="font41"/>
    <w:basedOn w:val="28"/>
    <w:qFormat/>
    <w:uiPriority w:val="0"/>
    <w:rPr>
      <w:rFonts w:hint="default" w:ascii="Arial" w:hAnsi="Arial" w:cs="Arial"/>
      <w:color w:val="000000"/>
      <w:sz w:val="18"/>
      <w:szCs w:val="18"/>
      <w:u w:val="none"/>
    </w:rPr>
  </w:style>
  <w:style w:type="character" w:customStyle="1" w:styleId="115">
    <w:name w:val="font51"/>
    <w:basedOn w:val="28"/>
    <w:qFormat/>
    <w:uiPriority w:val="0"/>
    <w:rPr>
      <w:rFonts w:hint="eastAsia" w:ascii="宋体" w:hAnsi="宋体" w:eastAsia="宋体" w:cs="宋体"/>
      <w:color w:val="000000"/>
      <w:sz w:val="20"/>
      <w:szCs w:val="20"/>
      <w:u w:val="none"/>
    </w:rPr>
  </w:style>
  <w:style w:type="paragraph" w:customStyle="1" w:styleId="116">
    <w:name w:val="CD正文"/>
    <w:basedOn w:val="1"/>
    <w:qFormat/>
    <w:uiPriority w:val="0"/>
    <w:pPr>
      <w:spacing w:line="360" w:lineRule="auto"/>
      <w:ind w:firstLine="493"/>
    </w:pPr>
    <w:rPr>
      <w:sz w:val="30"/>
      <w:szCs w:val="30"/>
    </w:rPr>
  </w:style>
  <w:style w:type="paragraph" w:customStyle="1" w:styleId="117">
    <w:name w:val="列出段落5"/>
    <w:basedOn w:val="1"/>
    <w:qFormat/>
    <w:uiPriority w:val="99"/>
    <w:pPr>
      <w:ind w:firstLine="420" w:firstLineChars="200"/>
    </w:pPr>
  </w:style>
  <w:style w:type="character" w:customStyle="1" w:styleId="118">
    <w:name w:val="标题 2 Char"/>
    <w:link w:val="6"/>
    <w:qFormat/>
    <w:uiPriority w:val="0"/>
    <w:rPr>
      <w:rFonts w:ascii="Calibri" w:hAnsi="Calibri" w:eastAsia="仿宋"/>
      <w:b/>
      <w:sz w:val="24"/>
    </w:rPr>
  </w:style>
  <w:style w:type="paragraph" w:customStyle="1" w:styleId="119">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20">
    <w:name w:val="_Style 6"/>
    <w:basedOn w:val="5"/>
    <w:next w:val="1"/>
    <w:qFormat/>
    <w:uiPriority w:val="0"/>
    <w:pPr>
      <w:outlineLvl w:val="9"/>
    </w:pPr>
  </w:style>
  <w:style w:type="paragraph" w:customStyle="1" w:styleId="121">
    <w:name w:val="WPSOffice手动目录 1"/>
    <w:qFormat/>
    <w:uiPriority w:val="0"/>
    <w:rPr>
      <w:rFonts w:ascii="Times New Roman" w:hAnsi="Times New Roman" w:eastAsia="宋体" w:cs="Times New Roman"/>
      <w:lang w:val="en-US" w:eastAsia="zh-CN" w:bidi="ar-SA"/>
    </w:rPr>
  </w:style>
  <w:style w:type="paragraph" w:customStyle="1" w:styleId="122">
    <w:name w:val="null3"/>
    <w:qFormat/>
    <w:uiPriority w:val="0"/>
    <w:rPr>
      <w:rFonts w:hint="eastAsia" w:ascii="Calibri" w:hAnsi="Calibri" w:eastAsia="宋体" w:cs="Times New Roman"/>
      <w:lang w:val="en-US" w:eastAsia="zh-CN" w:bidi="ar-SA"/>
    </w:rPr>
  </w:style>
  <w:style w:type="paragraph" w:customStyle="1" w:styleId="123">
    <w:name w:val="List Paragraph_4c445914-b6cf-4221-9e53-f80e9b0e7c37"/>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109</Pages>
  <Words>48659</Words>
  <Characters>54164</Characters>
  <Lines>432</Lines>
  <Paragraphs>121</Paragraphs>
  <TotalTime>3</TotalTime>
  <ScaleCrop>false</ScaleCrop>
  <LinksUpToDate>false</LinksUpToDate>
  <CharactersWithSpaces>54899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2019-11-27T22:26:00Z</dcterms:created>
  <dc:creator>88999</dc:creator>
  <cp:lastModifiedBy>久润招标</cp:lastModifiedBy>
  <cp:lastPrinted>2024-06-07T03:41:00Z</cp:lastPrinted>
  <dcterms:modified xsi:type="dcterms:W3CDTF">2024-06-12T01:30:06Z</dcterms:modified>
  <dc:subject>货物询价采购文件</dc:subject>
  <dc:title>7788</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80C683AD96DD43789C0154CE5A48A4AF_13</vt:lpwstr>
  </property>
  <property fmtid="{D5CDD505-2E9C-101B-9397-08002B2CF9AE}" pid="4" name="commondata">
    <vt:lpwstr>eyJoZGlkIjoiZTQzNzAzM2IxNGM3MzA4OWQ3ZmVmZWJmY2FkNTE0Y2YifQ==</vt:lpwstr>
  </property>
</Properties>
</file>