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left"/>
        <w:rPr>
          <w:rFonts w:hint="eastAsia" w:ascii="仿宋" w:hAnsi="仿宋" w:eastAsia="仿宋" w:cs="仿宋"/>
          <w:b/>
          <w:color w:val="000000" w:themeColor="text1"/>
          <w:sz w:val="44"/>
          <w:szCs w:val="44"/>
          <w:lang w:eastAsia="zh-CN"/>
          <w14:textFill>
            <w14:solidFill>
              <w14:schemeClr w14:val="tx1"/>
            </w14:solidFill>
          </w14:textFill>
        </w:rPr>
      </w:pPr>
      <w:bookmarkStart w:id="206" w:name="_GoBack"/>
      <w:bookmarkEnd w:id="206"/>
      <w:r>
        <w:rPr>
          <w:rFonts w:hint="eastAsia" w:ascii="仿宋" w:hAnsi="仿宋" w:eastAsia="仿宋" w:cs="仿宋"/>
          <w:color w:val="000000" w:themeColor="text1"/>
          <w:sz w:val="10"/>
          <w:szCs w:val="13"/>
          <w14:textFill>
            <w14:solidFill>
              <w14:schemeClr w14:val="tx1"/>
            </w14:solidFill>
          </w14:textFill>
        </w:rPr>
        <w:drawing>
          <wp:anchor distT="0" distB="0" distL="114300" distR="114300" simplePos="0" relativeHeight="251662336" behindDoc="0" locked="0" layoutInCell="1" allowOverlap="1">
            <wp:simplePos x="0" y="0"/>
            <wp:positionH relativeFrom="column">
              <wp:posOffset>-76200</wp:posOffset>
            </wp:positionH>
            <wp:positionV relativeFrom="paragraph">
              <wp:posOffset>-485775</wp:posOffset>
            </wp:positionV>
            <wp:extent cx="1374775" cy="567055"/>
            <wp:effectExtent l="0" t="0" r="15875" b="4445"/>
            <wp:wrapNone/>
            <wp:docPr id="2" name="图片 2" descr="1092c903b3ce7839f08d663294ba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092c903b3ce7839f08d663294bac20"/>
                    <pic:cNvPicPr>
                      <a:picLocks noChangeAspect="1"/>
                    </pic:cNvPicPr>
                  </pic:nvPicPr>
                  <pic:blipFill>
                    <a:blip r:embed="rId15" cstate="print"/>
                    <a:stretch>
                      <a:fillRect/>
                    </a:stretch>
                  </pic:blipFill>
                  <pic:spPr>
                    <a:xfrm>
                      <a:off x="0" y="0"/>
                      <a:ext cx="1374775" cy="567055"/>
                    </a:xfrm>
                    <a:prstGeom prst="rect">
                      <a:avLst/>
                    </a:prstGeom>
                  </pic:spPr>
                </pic:pic>
              </a:graphicData>
            </a:graphic>
          </wp:anchor>
        </w:drawing>
      </w:r>
    </w:p>
    <w:p>
      <w:pPr>
        <w:spacing w:after="120" w:line="360" w:lineRule="auto"/>
        <w:jc w:val="center"/>
        <w:rPr>
          <w:rFonts w:hint="eastAsia" w:ascii="仿宋" w:hAnsi="仿宋" w:eastAsia="仿宋" w:cs="仿宋"/>
          <w:b/>
          <w:color w:val="000000" w:themeColor="text1"/>
          <w:sz w:val="40"/>
          <w:szCs w:val="40"/>
          <w:lang w:eastAsia="zh-CN"/>
          <w14:textFill>
            <w14:solidFill>
              <w14:schemeClr w14:val="tx1"/>
            </w14:solidFill>
          </w14:textFill>
        </w:rPr>
      </w:pPr>
    </w:p>
    <w:p>
      <w:pPr>
        <w:spacing w:after="120" w:line="360" w:lineRule="auto"/>
        <w:jc w:val="center"/>
        <w:rPr>
          <w:rFonts w:hint="eastAsia" w:ascii="仿宋" w:hAnsi="仿宋" w:eastAsia="仿宋" w:cs="仿宋"/>
          <w:b/>
          <w:color w:val="000000" w:themeColor="text1"/>
          <w:sz w:val="40"/>
          <w:szCs w:val="40"/>
          <w:highlight w:val="none"/>
          <w:lang w:val="en-US" w:eastAsia="zh-CN"/>
          <w14:textFill>
            <w14:solidFill>
              <w14:schemeClr w14:val="tx1"/>
            </w14:solidFill>
          </w14:textFill>
        </w:rPr>
      </w:pPr>
      <w:r>
        <w:rPr>
          <w:rFonts w:hint="eastAsia" w:ascii="仿宋" w:hAnsi="仿宋" w:eastAsia="仿宋" w:cs="仿宋"/>
          <w:b/>
          <w:color w:val="000000" w:themeColor="text1"/>
          <w:sz w:val="40"/>
          <w:szCs w:val="40"/>
          <w:highlight w:val="none"/>
          <w:lang w:val="en-US" w:eastAsia="zh-CN"/>
          <w14:textFill>
            <w14:solidFill>
              <w14:schemeClr w14:val="tx1"/>
            </w14:solidFill>
          </w14:textFill>
        </w:rPr>
        <w:t>富顺县中医医院</w:t>
      </w:r>
    </w:p>
    <w:p>
      <w:pPr>
        <w:spacing w:after="120" w:line="360" w:lineRule="auto"/>
        <w:jc w:val="center"/>
        <w:rPr>
          <w:rFonts w:hint="eastAsia" w:ascii="仿宋" w:hAnsi="仿宋" w:eastAsia="仿宋" w:cs="仿宋"/>
          <w:b/>
          <w:color w:val="000000" w:themeColor="text1"/>
          <w:sz w:val="40"/>
          <w:szCs w:val="40"/>
          <w:highlight w:val="none"/>
          <w:lang w:val="en-US" w:eastAsia="zh-CN"/>
          <w14:textFill>
            <w14:solidFill>
              <w14:schemeClr w14:val="tx1"/>
            </w14:solidFill>
          </w14:textFill>
        </w:rPr>
      </w:pPr>
      <w:r>
        <w:rPr>
          <w:rFonts w:hint="eastAsia" w:ascii="仿宋" w:hAnsi="仿宋" w:eastAsia="仿宋" w:cs="仿宋"/>
          <w:b/>
          <w:color w:val="000000" w:themeColor="text1"/>
          <w:sz w:val="40"/>
          <w:szCs w:val="40"/>
          <w:highlight w:val="none"/>
          <w:lang w:val="en-US" w:eastAsia="zh-CN"/>
          <w14:textFill>
            <w14:solidFill>
              <w14:schemeClr w14:val="tx1"/>
            </w14:solidFill>
          </w14:textFill>
        </w:rPr>
        <w:t>CT袋、DR袋、药袋、黄色医疗垃圾袋等采购项目</w:t>
      </w:r>
    </w:p>
    <w:p>
      <w:pPr>
        <w:spacing w:after="120" w:line="360" w:lineRule="auto"/>
        <w:jc w:val="center"/>
        <w:rPr>
          <w:rFonts w:hint="eastAsia" w:ascii="仿宋" w:hAnsi="仿宋" w:eastAsia="仿宋" w:cs="仿宋"/>
          <w:b/>
          <w:color w:val="auto"/>
          <w:sz w:val="48"/>
          <w:szCs w:val="48"/>
          <w:highlight w:val="none"/>
          <w:lang w:eastAsia="zh-CN"/>
        </w:rPr>
      </w:pPr>
      <w:r>
        <w:rPr>
          <w:rFonts w:hint="eastAsia" w:ascii="仿宋" w:hAnsi="仿宋" w:eastAsia="仿宋" w:cs="仿宋"/>
          <w:b/>
          <w:color w:val="000000" w:themeColor="text1"/>
          <w:sz w:val="36"/>
          <w:szCs w:val="36"/>
          <w:highlight w:val="none"/>
          <w14:textFill>
            <w14:solidFill>
              <w14:schemeClr w14:val="tx1"/>
            </w14:solidFill>
          </w14:textFill>
        </w:rPr>
        <w:t>项目编号：JRZB-2024-Q066</w:t>
      </w:r>
    </w:p>
    <w:p>
      <w:pPr>
        <w:widowControl/>
        <w:jc w:val="center"/>
        <w:rPr>
          <w:rFonts w:ascii="仿宋" w:hAnsi="仿宋" w:eastAsia="仿宋" w:cs="仿宋"/>
          <w:color w:val="000000" w:themeColor="text1"/>
          <w:kern w:val="0"/>
          <w:sz w:val="24"/>
          <w:highlight w:val="none"/>
          <w14:textFill>
            <w14:solidFill>
              <w14:schemeClr w14:val="tx1"/>
            </w14:solidFill>
          </w14:textFill>
        </w:rPr>
      </w:pPr>
    </w:p>
    <w:p>
      <w:pPr>
        <w:tabs>
          <w:tab w:val="left" w:pos="28"/>
          <w:tab w:val="center" w:pos="4875"/>
        </w:tabs>
        <w:jc w:val="center"/>
        <w:rPr>
          <w:rFonts w:hint="eastAsia" w:ascii="仿宋" w:hAnsi="仿宋" w:eastAsia="仿宋" w:cs="仿宋"/>
          <w:b/>
          <w:color w:val="000000" w:themeColor="text1"/>
          <w:w w:val="88"/>
          <w:sz w:val="144"/>
          <w:szCs w:val="144"/>
          <w14:textFill>
            <w14:solidFill>
              <w14:schemeClr w14:val="tx1"/>
            </w14:solidFill>
          </w14:textFill>
        </w:rPr>
      </w:pPr>
    </w:p>
    <w:p>
      <w:pPr>
        <w:tabs>
          <w:tab w:val="left" w:pos="28"/>
          <w:tab w:val="center" w:pos="4875"/>
        </w:tabs>
        <w:jc w:val="center"/>
        <w:rPr>
          <w:rFonts w:ascii="仿宋" w:hAnsi="仿宋" w:eastAsia="仿宋" w:cs="仿宋"/>
          <w:b/>
          <w:color w:val="000000" w:themeColor="text1"/>
          <w:w w:val="128"/>
          <w:sz w:val="112"/>
          <w:szCs w:val="112"/>
          <w14:textFill>
            <w14:solidFill>
              <w14:schemeClr w14:val="tx1"/>
            </w14:solidFill>
          </w14:textFill>
        </w:rPr>
      </w:pPr>
      <w:r>
        <w:rPr>
          <w:rFonts w:hint="eastAsia" w:ascii="仿宋" w:hAnsi="仿宋" w:eastAsia="仿宋" w:cs="仿宋"/>
          <w:b/>
          <w:color w:val="000000" w:themeColor="text1"/>
          <w:w w:val="88"/>
          <w:sz w:val="144"/>
          <w:szCs w:val="144"/>
          <w14:textFill>
            <w14:solidFill>
              <w14:schemeClr w14:val="tx1"/>
            </w14:solidFill>
          </w14:textFill>
        </w:rPr>
        <w:t>竞争性谈判文件</w:t>
      </w:r>
    </w:p>
    <w:p>
      <w:pPr>
        <w:jc w:val="both"/>
        <w:rPr>
          <w:rFonts w:ascii="仿宋" w:hAnsi="仿宋" w:eastAsia="仿宋" w:cs="仿宋"/>
          <w:b/>
          <w:color w:val="000000" w:themeColor="text1"/>
          <w:sz w:val="44"/>
          <w:szCs w:val="44"/>
          <w:highlight w:val="none"/>
          <w14:textFill>
            <w14:solidFill>
              <w14:schemeClr w14:val="tx1"/>
            </w14:solidFill>
          </w14:textFill>
        </w:rPr>
      </w:pPr>
    </w:p>
    <w:p/>
    <w:p>
      <w:pPr>
        <w:pStyle w:val="12"/>
        <w:rPr>
          <w:rFonts w:ascii="仿宋" w:hAnsi="仿宋" w:eastAsia="仿宋" w:cs="仿宋"/>
          <w:b/>
          <w:color w:val="000000" w:themeColor="text1"/>
          <w:sz w:val="44"/>
          <w:szCs w:val="44"/>
          <w:highlight w:val="none"/>
          <w14:textFill>
            <w14:solidFill>
              <w14:schemeClr w14:val="tx1"/>
            </w14:solidFill>
          </w14:textFill>
        </w:rPr>
      </w:pPr>
    </w:p>
    <w:p/>
    <w:p>
      <w:pPr>
        <w:pStyle w:val="12"/>
        <w:rPr>
          <w:color w:val="000000" w:themeColor="text1"/>
          <w:highlight w:val="none"/>
          <w14:textFill>
            <w14:solidFill>
              <w14:schemeClr w14:val="tx1"/>
            </w14:solidFill>
          </w14:textFill>
        </w:rPr>
      </w:pPr>
    </w:p>
    <w:p>
      <w:pPr>
        <w:spacing w:line="360" w:lineRule="auto"/>
        <w:ind w:firstLine="1285" w:firstLineChars="400"/>
        <w:rPr>
          <w:rFonts w:hint="eastAsia" w:ascii="仿宋" w:hAnsi="仿宋" w:eastAsia="仿宋" w:cs="仿宋"/>
          <w:b/>
          <w:color w:val="000000" w:themeColor="text1"/>
          <w:sz w:val="32"/>
          <w:szCs w:val="32"/>
          <w:highlight w:val="none"/>
          <w:lang w:val="en-US"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采</w:t>
      </w:r>
      <w:r>
        <w:rPr>
          <w:rFonts w:hint="eastAsia" w:ascii="仿宋" w:hAnsi="仿宋" w:eastAsia="仿宋" w:cs="仿宋"/>
          <w:b/>
          <w:color w:val="000000" w:themeColor="text1"/>
          <w:sz w:val="32"/>
          <w:szCs w:val="32"/>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2"/>
          <w:szCs w:val="32"/>
          <w:highlight w:val="none"/>
          <w14:textFill>
            <w14:solidFill>
              <w14:schemeClr w14:val="tx1"/>
            </w14:solidFill>
          </w14:textFill>
        </w:rPr>
        <w:t xml:space="preserve"> 购 </w:t>
      </w:r>
      <w:r>
        <w:rPr>
          <w:rFonts w:hint="eastAsia" w:ascii="仿宋" w:hAnsi="仿宋" w:eastAsia="仿宋" w:cs="仿宋"/>
          <w:b/>
          <w:color w:val="000000" w:themeColor="text1"/>
          <w:sz w:val="32"/>
          <w:szCs w:val="32"/>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2"/>
          <w:szCs w:val="32"/>
          <w:highlight w:val="none"/>
          <w14:textFill>
            <w14:solidFill>
              <w14:schemeClr w14:val="tx1"/>
            </w14:solidFill>
          </w14:textFill>
        </w:rPr>
        <w:t xml:space="preserve"> 人：</w:t>
      </w:r>
      <w:r>
        <w:rPr>
          <w:rFonts w:hint="eastAsia" w:ascii="仿宋" w:hAnsi="仿宋" w:eastAsia="仿宋" w:cs="仿宋"/>
          <w:b/>
          <w:color w:val="000000" w:themeColor="text1"/>
          <w:sz w:val="32"/>
          <w:szCs w:val="32"/>
          <w:highlight w:val="none"/>
          <w:lang w:val="en-US" w:eastAsia="zh-CN"/>
          <w14:textFill>
            <w14:solidFill>
              <w14:schemeClr w14:val="tx1"/>
            </w14:solidFill>
          </w14:textFill>
        </w:rPr>
        <w:t>富顺县中医医院</w:t>
      </w:r>
    </w:p>
    <w:p>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采购代理机构：四川久润招投标代理有限公司</w:t>
      </w:r>
    </w:p>
    <w:p>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文  件 编 制：采购人与采购代理机构共同编制</w:t>
      </w:r>
    </w:p>
    <w:p>
      <w:pPr>
        <w:tabs>
          <w:tab w:val="left" w:pos="7035"/>
        </w:tabs>
        <w:spacing w:after="60" w:line="360" w:lineRule="auto"/>
        <w:jc w:val="center"/>
        <w:rPr>
          <w:rFonts w:ascii="仿宋" w:hAnsi="仿宋" w:eastAsia="仿宋" w:cs="仿宋"/>
          <w:b/>
          <w:color w:val="000000" w:themeColor="text1"/>
          <w:spacing w:val="16"/>
          <w:sz w:val="32"/>
          <w:szCs w:val="32"/>
          <w14:textFill>
            <w14:solidFill>
              <w14:schemeClr w14:val="tx1"/>
            </w14:solidFill>
          </w14:textFill>
        </w:rPr>
      </w:pPr>
    </w:p>
    <w:p>
      <w:pPr>
        <w:tabs>
          <w:tab w:val="left" w:pos="7035"/>
        </w:tabs>
        <w:spacing w:after="60" w:line="360" w:lineRule="auto"/>
        <w:jc w:val="center"/>
        <w:rPr>
          <w:rFonts w:ascii="仿宋" w:hAnsi="仿宋" w:eastAsia="仿宋" w:cs="仿宋"/>
          <w:b/>
          <w:color w:val="000000" w:themeColor="text1"/>
          <w:spacing w:val="16"/>
          <w:sz w:val="32"/>
          <w:szCs w:val="32"/>
          <w14:textFill>
            <w14:solidFill>
              <w14:schemeClr w14:val="tx1"/>
            </w14:solidFill>
          </w14:textFill>
        </w:rPr>
      </w:pPr>
      <w:r>
        <w:rPr>
          <w:rFonts w:hint="eastAsia" w:ascii="仿宋" w:hAnsi="仿宋" w:eastAsia="仿宋" w:cs="仿宋"/>
          <w:b/>
          <w:color w:val="000000" w:themeColor="text1"/>
          <w:spacing w:val="16"/>
          <w:sz w:val="32"/>
          <w:szCs w:val="32"/>
          <w14:textFill>
            <w14:solidFill>
              <w14:schemeClr w14:val="tx1"/>
            </w14:solidFill>
          </w14:textFill>
        </w:rPr>
        <w:t>四川·自贡</w:t>
      </w:r>
    </w:p>
    <w:p>
      <w:pPr>
        <w:tabs>
          <w:tab w:val="left" w:pos="7035"/>
        </w:tabs>
        <w:spacing w:after="60" w:line="360" w:lineRule="auto"/>
        <w:jc w:val="center"/>
        <w:rPr>
          <w:rFonts w:ascii="仿宋" w:hAnsi="仿宋" w:eastAsia="仿宋" w:cs="仿宋"/>
          <w:b/>
          <w:color w:val="000000" w:themeColor="text1"/>
          <w:spacing w:val="16"/>
          <w:sz w:val="44"/>
          <w:szCs w:val="44"/>
          <w14:textFill>
            <w14:solidFill>
              <w14:schemeClr w14:val="tx1"/>
            </w14:solidFill>
          </w14:textFill>
        </w:rPr>
        <w:sectPr>
          <w:headerReference r:id="rId5" w:type="first"/>
          <w:headerReference r:id="rId3" w:type="default"/>
          <w:headerReference r:id="rId4" w:type="even"/>
          <w:footerReference r:id="rId6" w:type="even"/>
          <w:pgSz w:w="11907" w:h="16840"/>
          <w:pgMar w:top="1440" w:right="1173" w:bottom="1440" w:left="1074" w:header="851" w:footer="992" w:gutter="0"/>
          <w:pgBorders>
            <w:top w:val="none" w:sz="0" w:space="0"/>
            <w:left w:val="none" w:sz="0" w:space="0"/>
            <w:bottom w:val="none" w:sz="0" w:space="0"/>
            <w:right w:val="none" w:sz="0" w:space="0"/>
          </w:pgBorders>
          <w:pgNumType w:fmt="numberInDash" w:start="1"/>
          <w:cols w:space="720" w:num="1"/>
          <w:titlePg/>
          <w:docGrid w:linePitch="312" w:charSpace="0"/>
        </w:sectPr>
      </w:pPr>
      <w:r>
        <w:rPr>
          <w:rFonts w:hint="eastAsia" w:ascii="仿宋" w:hAnsi="仿宋" w:eastAsia="仿宋" w:cs="仿宋"/>
          <w:b/>
          <w:color w:val="000000" w:themeColor="text1"/>
          <w:sz w:val="32"/>
          <w:szCs w:val="32"/>
          <w14:textFill>
            <w14:solidFill>
              <w14:schemeClr w14:val="tx1"/>
            </w14:solidFill>
          </w14:textFill>
        </w:rPr>
        <w:t>二〇二</w:t>
      </w:r>
      <w:r>
        <w:rPr>
          <w:rFonts w:hint="eastAsia" w:ascii="仿宋" w:hAnsi="仿宋" w:eastAsia="仿宋" w:cs="仿宋"/>
          <w:b/>
          <w:color w:val="000000" w:themeColor="text1"/>
          <w:sz w:val="32"/>
          <w:szCs w:val="32"/>
          <w:lang w:val="en-US" w:eastAsia="zh-CN"/>
          <w14:textFill>
            <w14:solidFill>
              <w14:schemeClr w14:val="tx1"/>
            </w14:solidFill>
          </w14:textFill>
        </w:rPr>
        <w:t>四</w:t>
      </w:r>
      <w:r>
        <w:rPr>
          <w:rFonts w:hint="eastAsia" w:ascii="仿宋" w:hAnsi="仿宋" w:eastAsia="仿宋" w:cs="仿宋"/>
          <w:b/>
          <w:color w:val="000000" w:themeColor="text1"/>
          <w:sz w:val="32"/>
          <w:szCs w:val="32"/>
          <w14:textFill>
            <w14:solidFill>
              <w14:schemeClr w14:val="tx1"/>
            </w14:solidFill>
          </w14:textFill>
        </w:rPr>
        <w:t>年</w:t>
      </w:r>
      <w:r>
        <w:rPr>
          <w:rFonts w:hint="eastAsia" w:ascii="仿宋" w:hAnsi="仿宋" w:eastAsia="仿宋" w:cs="仿宋"/>
          <w:b/>
          <w:color w:val="000000" w:themeColor="text1"/>
          <w:sz w:val="32"/>
          <w:szCs w:val="32"/>
          <w:lang w:eastAsia="zh-CN"/>
          <w14:textFill>
            <w14:solidFill>
              <w14:schemeClr w14:val="tx1"/>
            </w14:solidFill>
          </w14:textFill>
        </w:rPr>
        <w:t>四</w:t>
      </w:r>
      <w:r>
        <w:rPr>
          <w:rFonts w:hint="eastAsia" w:ascii="仿宋" w:hAnsi="仿宋" w:eastAsia="仿宋" w:cs="仿宋"/>
          <w:b/>
          <w:color w:val="000000" w:themeColor="text1"/>
          <w:sz w:val="32"/>
          <w:szCs w:val="32"/>
          <w14:textFill>
            <w14:solidFill>
              <w14:schemeClr w14:val="tx1"/>
            </w14:solidFill>
          </w14:textFill>
        </w:rPr>
        <w:t>月</w:t>
      </w:r>
    </w:p>
    <w:p>
      <w:pPr>
        <w:tabs>
          <w:tab w:val="left" w:leader="dot" w:pos="7980"/>
        </w:tabs>
        <w:spacing w:line="600" w:lineRule="auto"/>
        <w:jc w:val="left"/>
        <w:outlineLvl w:val="9"/>
        <w:rPr>
          <w:color w:val="auto"/>
        </w:rPr>
      </w:pPr>
      <w:bookmarkStart w:id="0" w:name="_Toc17411"/>
      <w:bookmarkStart w:id="1" w:name="_Toc31928"/>
      <w:bookmarkStart w:id="2" w:name="_Toc15228"/>
      <w:bookmarkStart w:id="3" w:name="_Toc22311"/>
    </w:p>
    <w:sdt>
      <w:sdtPr>
        <w:rPr>
          <w:rFonts w:hint="eastAsia" w:ascii="仿宋" w:hAnsi="仿宋" w:eastAsia="仿宋" w:cs="仿宋"/>
          <w:b/>
          <w:color w:val="000000" w:themeColor="text1"/>
          <w:spacing w:val="16"/>
          <w:kern w:val="2"/>
          <w:sz w:val="44"/>
          <w:szCs w:val="44"/>
          <w:highlight w:val="none"/>
          <w:lang w:val="en-US" w:eastAsia="zh-CN" w:bidi="ar-SA"/>
          <w14:textFill>
            <w14:solidFill>
              <w14:schemeClr w14:val="tx1"/>
            </w14:solidFill>
          </w14:textFill>
        </w:rPr>
        <w:id w:val="147457502"/>
        <w15:color w:val="DBDBDB"/>
        <w:docPartObj>
          <w:docPartGallery w:val="Table of Contents"/>
          <w:docPartUnique/>
        </w:docPartObj>
      </w:sdtPr>
      <w:sdtEndPr>
        <w:rPr>
          <w:rFonts w:hint="eastAsia" w:ascii="仿宋" w:hAnsi="仿宋" w:eastAsia="仿宋" w:cs="仿宋"/>
          <w:b/>
          <w:color w:val="000000" w:themeColor="text1"/>
          <w:spacing w:val="16"/>
          <w:kern w:val="2"/>
          <w:sz w:val="28"/>
          <w:szCs w:val="28"/>
          <w:highlight w:val="none"/>
          <w:lang w:val="en-US" w:eastAsia="zh-CN" w:bidi="ar-SA"/>
          <w14:textFill>
            <w14:solidFill>
              <w14:schemeClr w14:val="tx1"/>
            </w14:solidFill>
          </w14:textFill>
        </w:rPr>
      </w:sdtEndPr>
      <w:sdtContent>
        <w:p>
          <w:pPr>
            <w:tabs>
              <w:tab w:val="left" w:pos="7035"/>
            </w:tabs>
            <w:spacing w:before="0" w:beforeLines="-2147483648" w:after="60" w:afterLines="-2147483648" w:line="240" w:lineRule="auto"/>
            <w:ind w:left="0" w:leftChars="0" w:right="0" w:rightChars="0" w:firstLine="0" w:firstLineChars="0"/>
            <w:jc w:val="center"/>
            <w:rPr>
              <w:rFonts w:hint="eastAsia" w:ascii="仿宋" w:hAnsi="仿宋" w:eastAsia="仿宋" w:cs="仿宋"/>
              <w:b/>
              <w:color w:val="000000" w:themeColor="text1"/>
              <w:spacing w:val="16"/>
              <w:sz w:val="44"/>
              <w:szCs w:val="44"/>
              <w:highlight w:val="none"/>
              <w14:textFill>
                <w14:solidFill>
                  <w14:schemeClr w14:val="tx1"/>
                </w14:solidFill>
              </w14:textFill>
            </w:rPr>
          </w:pPr>
          <w:r>
            <w:rPr>
              <w:rFonts w:hint="eastAsia" w:ascii="仿宋" w:hAnsi="仿宋" w:eastAsia="仿宋" w:cs="仿宋"/>
              <w:b/>
              <w:color w:val="000000" w:themeColor="text1"/>
              <w:spacing w:val="16"/>
              <w:sz w:val="44"/>
              <w:szCs w:val="44"/>
              <w:highlight w:val="none"/>
              <w14:textFill>
                <w14:solidFill>
                  <w14:schemeClr w14:val="tx1"/>
                </w14:solidFill>
              </w14:textFill>
            </w:rPr>
            <w:t>目</w:t>
          </w:r>
          <w:r>
            <w:rPr>
              <w:rFonts w:hint="eastAsia" w:ascii="仿宋" w:hAnsi="仿宋" w:eastAsia="仿宋" w:cs="仿宋"/>
              <w:b/>
              <w:color w:val="000000" w:themeColor="text1"/>
              <w:spacing w:val="16"/>
              <w:sz w:val="44"/>
              <w:szCs w:val="44"/>
              <w:highlight w:val="none"/>
              <w:lang w:val="en-US" w:eastAsia="zh-CN"/>
              <w14:textFill>
                <w14:solidFill>
                  <w14:schemeClr w14:val="tx1"/>
                </w14:solidFill>
              </w14:textFill>
            </w:rPr>
            <w:t xml:space="preserve">  </w:t>
          </w:r>
          <w:r>
            <w:rPr>
              <w:rFonts w:hint="eastAsia" w:ascii="仿宋" w:hAnsi="仿宋" w:eastAsia="仿宋" w:cs="仿宋"/>
              <w:b/>
              <w:color w:val="000000" w:themeColor="text1"/>
              <w:spacing w:val="16"/>
              <w:sz w:val="44"/>
              <w:szCs w:val="44"/>
              <w:highlight w:val="none"/>
              <w14:textFill>
                <w14:solidFill>
                  <w14:schemeClr w14:val="tx1"/>
                </w14:solidFill>
              </w14:textFill>
            </w:rPr>
            <w:t>录</w:t>
          </w:r>
        </w:p>
        <w:p>
          <w:pPr>
            <w:pStyle w:val="21"/>
            <w:tabs>
              <w:tab w:val="right" w:leader="dot" w:pos="8955"/>
            </w:tabs>
            <w:spacing w:line="480" w:lineRule="auto"/>
            <w:rPr>
              <w:rFonts w:hint="eastAsia" w:ascii="仿宋" w:hAnsi="仿宋" w:eastAsia="仿宋" w:cs="仿宋"/>
              <w:sz w:val="28"/>
              <w:szCs w:val="28"/>
            </w:rPr>
          </w:pPr>
          <w:r>
            <w:rPr>
              <w:rFonts w:ascii="仿宋" w:hAnsi="仿宋" w:eastAsia="仿宋" w:cs="仿宋"/>
              <w:b/>
              <w:bCs/>
              <w:color w:val="auto"/>
              <w:spacing w:val="-2"/>
              <w:sz w:val="28"/>
              <w:szCs w:val="28"/>
            </w:rPr>
            <w:fldChar w:fldCharType="begin"/>
          </w:r>
          <w:r>
            <w:rPr>
              <w:rFonts w:ascii="仿宋" w:hAnsi="仿宋" w:eastAsia="仿宋" w:cs="仿宋"/>
              <w:b/>
              <w:bCs/>
              <w:color w:val="auto"/>
              <w:spacing w:val="-2"/>
              <w:sz w:val="28"/>
              <w:szCs w:val="28"/>
            </w:rPr>
            <w:instrText xml:space="preserve">TOC \o "1-1" \h \u </w:instrText>
          </w:r>
          <w:r>
            <w:rPr>
              <w:rFonts w:ascii="仿宋" w:hAnsi="仿宋" w:eastAsia="仿宋" w:cs="仿宋"/>
              <w:b/>
              <w:bCs/>
              <w:color w:val="auto"/>
              <w:spacing w:val="-2"/>
              <w:sz w:val="28"/>
              <w:szCs w:val="28"/>
            </w:rPr>
            <w:fldChar w:fldCharType="separate"/>
          </w: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_Toc9930 </w:instrText>
          </w:r>
          <w:r>
            <w:rPr>
              <w:rFonts w:ascii="仿宋" w:hAnsi="仿宋" w:eastAsia="仿宋" w:cs="仿宋"/>
              <w:bCs/>
              <w:spacing w:val="-2"/>
              <w:sz w:val="28"/>
              <w:szCs w:val="28"/>
            </w:rPr>
            <w:fldChar w:fldCharType="separate"/>
          </w:r>
          <w:r>
            <w:rPr>
              <w:rFonts w:hint="eastAsia" w:ascii="仿宋" w:hAnsi="仿宋" w:eastAsia="仿宋" w:cs="仿宋"/>
              <w:bCs/>
              <w:spacing w:val="-2"/>
              <w:sz w:val="28"/>
              <w:szCs w:val="28"/>
            </w:rPr>
            <w:t>第一章</w:t>
          </w:r>
          <w:r>
            <w:rPr>
              <w:rFonts w:hint="eastAsia" w:ascii="仿宋" w:hAnsi="仿宋" w:eastAsia="仿宋" w:cs="仿宋"/>
              <w:bCs/>
              <w:spacing w:val="-2"/>
              <w:sz w:val="28"/>
              <w:szCs w:val="28"/>
              <w:lang w:val="en-US" w:eastAsia="zh-CN"/>
            </w:rPr>
            <w:t xml:space="preserve"> </w:t>
          </w:r>
          <w:r>
            <w:rPr>
              <w:rFonts w:hint="eastAsia" w:ascii="仿宋" w:hAnsi="仿宋" w:eastAsia="仿宋" w:cs="仿宋"/>
              <w:bCs/>
              <w:spacing w:val="-2"/>
              <w:sz w:val="28"/>
              <w:szCs w:val="28"/>
            </w:rPr>
            <w:t>谈判邀请</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_Toc9930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1"/>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_Toc2195 </w:instrText>
          </w:r>
          <w:r>
            <w:rPr>
              <w:rFonts w:ascii="仿宋" w:hAnsi="仿宋" w:eastAsia="仿宋" w:cs="仿宋"/>
              <w:bCs/>
              <w:spacing w:val="-2"/>
              <w:sz w:val="28"/>
              <w:szCs w:val="28"/>
            </w:rPr>
            <w:fldChar w:fldCharType="separate"/>
          </w:r>
          <w:r>
            <w:rPr>
              <w:rFonts w:hint="eastAsia" w:ascii="仿宋" w:hAnsi="仿宋" w:eastAsia="仿宋" w:cs="仿宋"/>
              <w:bCs/>
              <w:spacing w:val="-2"/>
              <w:sz w:val="28"/>
              <w:szCs w:val="28"/>
            </w:rPr>
            <w:t>第二章</w:t>
          </w:r>
          <w:r>
            <w:rPr>
              <w:rFonts w:hint="eastAsia" w:ascii="仿宋" w:hAnsi="仿宋" w:eastAsia="仿宋" w:cs="仿宋"/>
              <w:bCs/>
              <w:spacing w:val="-2"/>
              <w:sz w:val="28"/>
              <w:szCs w:val="28"/>
              <w:lang w:val="en-US" w:eastAsia="zh-CN"/>
            </w:rPr>
            <w:t xml:space="preserve"> </w:t>
          </w:r>
          <w:r>
            <w:rPr>
              <w:rFonts w:hint="eastAsia" w:ascii="仿宋" w:hAnsi="仿宋" w:eastAsia="仿宋" w:cs="仿宋"/>
              <w:bCs/>
              <w:spacing w:val="-2"/>
              <w:sz w:val="28"/>
              <w:szCs w:val="28"/>
            </w:rPr>
            <w:t>供应商谈判须知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_Toc2195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1"/>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_Toc11322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第三章</w:t>
          </w:r>
          <w:r>
            <w:rPr>
              <w:rFonts w:hint="eastAsia" w:ascii="仿宋" w:hAnsi="仿宋" w:eastAsia="仿宋" w:cs="仿宋"/>
              <w:bCs/>
              <w:kern w:val="2"/>
              <w:sz w:val="28"/>
              <w:szCs w:val="28"/>
              <w:lang w:val="en-US" w:eastAsia="zh-CN"/>
            </w:rPr>
            <w:t xml:space="preserve"> </w:t>
          </w:r>
          <w:r>
            <w:rPr>
              <w:rFonts w:hint="eastAsia" w:ascii="仿宋" w:hAnsi="仿宋" w:eastAsia="仿宋" w:cs="仿宋"/>
              <w:bCs/>
              <w:kern w:val="2"/>
              <w:sz w:val="28"/>
              <w:szCs w:val="28"/>
            </w:rPr>
            <w:t>供应商的资格条件要求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_Toc11322 \h </w:instrText>
          </w:r>
          <w:r>
            <w:rPr>
              <w:rFonts w:hint="eastAsia" w:ascii="仿宋" w:hAnsi="仿宋" w:eastAsia="仿宋" w:cs="仿宋"/>
              <w:sz w:val="28"/>
              <w:szCs w:val="28"/>
            </w:rPr>
            <w:fldChar w:fldCharType="separate"/>
          </w:r>
          <w:r>
            <w:rPr>
              <w:rFonts w:hint="eastAsia" w:ascii="仿宋" w:hAnsi="仿宋" w:eastAsia="仿宋" w:cs="仿宋"/>
              <w:sz w:val="28"/>
              <w:szCs w:val="28"/>
            </w:rPr>
            <w:t>23</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1"/>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_Toc22893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第四章 供应商应当提供的资格证明材料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_Toc22893 \h </w:instrText>
          </w:r>
          <w:r>
            <w:rPr>
              <w:rFonts w:hint="eastAsia" w:ascii="仿宋" w:hAnsi="仿宋" w:eastAsia="仿宋" w:cs="仿宋"/>
              <w:sz w:val="28"/>
              <w:szCs w:val="28"/>
            </w:rPr>
            <w:fldChar w:fldCharType="separate"/>
          </w:r>
          <w:r>
            <w:rPr>
              <w:rFonts w:hint="eastAsia" w:ascii="仿宋" w:hAnsi="仿宋" w:eastAsia="仿宋" w:cs="仿宋"/>
              <w:sz w:val="28"/>
              <w:szCs w:val="28"/>
            </w:rPr>
            <w:t>24</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1"/>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_Toc28624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第五章 采购项目内容及商务要求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_Toc28624 \h </w:instrText>
          </w:r>
          <w:r>
            <w:rPr>
              <w:rFonts w:hint="eastAsia" w:ascii="仿宋" w:hAnsi="仿宋" w:eastAsia="仿宋" w:cs="仿宋"/>
              <w:sz w:val="28"/>
              <w:szCs w:val="28"/>
            </w:rPr>
            <w:fldChar w:fldCharType="separate"/>
          </w:r>
          <w:r>
            <w:rPr>
              <w:rFonts w:hint="eastAsia" w:ascii="仿宋" w:hAnsi="仿宋" w:eastAsia="仿宋" w:cs="仿宋"/>
              <w:sz w:val="28"/>
              <w:szCs w:val="28"/>
            </w:rPr>
            <w:t>25</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1"/>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_Toc24419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w:t>
          </w:r>
          <w:r>
            <w:rPr>
              <w:rFonts w:hint="eastAsia" w:ascii="仿宋" w:hAnsi="仿宋" w:eastAsia="仿宋" w:cs="仿宋"/>
              <w:bCs/>
              <w:kern w:val="2"/>
              <w:sz w:val="28"/>
              <w:szCs w:val="28"/>
              <w:lang w:eastAsia="zh-CN"/>
            </w:rPr>
            <w:t>六</w:t>
          </w:r>
          <w:r>
            <w:rPr>
              <w:rFonts w:hint="eastAsia" w:ascii="仿宋" w:hAnsi="仿宋" w:eastAsia="仿宋" w:cs="仿宋"/>
              <w:bCs/>
              <w:kern w:val="2"/>
              <w:sz w:val="28"/>
              <w:szCs w:val="28"/>
            </w:rPr>
            <w:t>章 谈判内容、谈判过程中可能实质性变动的内容</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_Toc24419 \h </w:instrText>
          </w:r>
          <w:r>
            <w:rPr>
              <w:rFonts w:hint="eastAsia" w:ascii="仿宋" w:hAnsi="仿宋" w:eastAsia="仿宋" w:cs="仿宋"/>
              <w:sz w:val="28"/>
              <w:szCs w:val="28"/>
            </w:rPr>
            <w:fldChar w:fldCharType="separate"/>
          </w:r>
          <w:r>
            <w:rPr>
              <w:rFonts w:hint="eastAsia" w:ascii="仿宋" w:hAnsi="仿宋" w:eastAsia="仿宋" w:cs="仿宋"/>
              <w:sz w:val="28"/>
              <w:szCs w:val="28"/>
            </w:rPr>
            <w:t>33</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1"/>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_Toc4706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w:t>
          </w:r>
          <w:r>
            <w:rPr>
              <w:rFonts w:hint="eastAsia" w:ascii="仿宋" w:hAnsi="仿宋" w:eastAsia="仿宋" w:cs="仿宋"/>
              <w:bCs/>
              <w:kern w:val="2"/>
              <w:sz w:val="28"/>
              <w:szCs w:val="28"/>
              <w:lang w:eastAsia="zh-CN"/>
            </w:rPr>
            <w:t>七</w:t>
          </w:r>
          <w:r>
            <w:rPr>
              <w:rFonts w:hint="eastAsia" w:ascii="仿宋" w:hAnsi="仿宋" w:eastAsia="仿宋" w:cs="仿宋"/>
              <w:bCs/>
              <w:kern w:val="2"/>
              <w:sz w:val="28"/>
              <w:szCs w:val="28"/>
            </w:rPr>
            <w:t>章</w:t>
          </w:r>
          <w:r>
            <w:rPr>
              <w:rFonts w:hint="eastAsia" w:ascii="仿宋" w:hAnsi="仿宋" w:eastAsia="仿宋" w:cs="仿宋"/>
              <w:bCs/>
              <w:kern w:val="2"/>
              <w:sz w:val="28"/>
              <w:szCs w:val="28"/>
              <w:lang w:val="en-US" w:eastAsia="zh-CN"/>
            </w:rPr>
            <w:t xml:space="preserve"> </w:t>
          </w:r>
          <w:r>
            <w:rPr>
              <w:rFonts w:hint="eastAsia" w:ascii="仿宋" w:hAnsi="仿宋" w:eastAsia="仿宋" w:cs="仿宋"/>
              <w:bCs/>
              <w:kern w:val="2"/>
              <w:sz w:val="28"/>
              <w:szCs w:val="28"/>
            </w:rPr>
            <w:t>响应文件主要格式要求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_Toc4706 \h </w:instrText>
          </w:r>
          <w:r>
            <w:rPr>
              <w:rFonts w:hint="eastAsia" w:ascii="仿宋" w:hAnsi="仿宋" w:eastAsia="仿宋" w:cs="仿宋"/>
              <w:sz w:val="28"/>
              <w:szCs w:val="28"/>
            </w:rPr>
            <w:fldChar w:fldCharType="separate"/>
          </w:r>
          <w:r>
            <w:rPr>
              <w:rFonts w:hint="eastAsia" w:ascii="仿宋" w:hAnsi="仿宋" w:eastAsia="仿宋" w:cs="仿宋"/>
              <w:sz w:val="28"/>
              <w:szCs w:val="28"/>
            </w:rPr>
            <w:t>34</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1"/>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_Toc26224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w:t>
          </w:r>
          <w:r>
            <w:rPr>
              <w:rFonts w:hint="eastAsia" w:ascii="仿宋" w:hAnsi="仿宋" w:eastAsia="仿宋" w:cs="仿宋"/>
              <w:sz w:val="28"/>
              <w:szCs w:val="28"/>
              <w:lang w:eastAsia="zh-CN"/>
            </w:rPr>
            <w:t>八</w:t>
          </w:r>
          <w:r>
            <w:rPr>
              <w:rFonts w:hint="eastAsia" w:ascii="仿宋" w:hAnsi="仿宋" w:eastAsia="仿宋" w:cs="仿宋"/>
              <w:sz w:val="28"/>
              <w:szCs w:val="28"/>
            </w:rPr>
            <w:t>章 评审办法</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_Toc26224 \h </w:instrText>
          </w:r>
          <w:r>
            <w:rPr>
              <w:rFonts w:hint="eastAsia" w:ascii="仿宋" w:hAnsi="仿宋" w:eastAsia="仿宋" w:cs="仿宋"/>
              <w:sz w:val="28"/>
              <w:szCs w:val="28"/>
            </w:rPr>
            <w:fldChar w:fldCharType="separate"/>
          </w:r>
          <w:r>
            <w:rPr>
              <w:rFonts w:hint="eastAsia" w:ascii="仿宋" w:hAnsi="仿宋" w:eastAsia="仿宋" w:cs="仿宋"/>
              <w:sz w:val="28"/>
              <w:szCs w:val="28"/>
            </w:rPr>
            <w:t>53</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1"/>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_Toc3219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第九章 采购合同（样例）</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_Toc3219 \h </w:instrText>
          </w:r>
          <w:r>
            <w:rPr>
              <w:rFonts w:hint="eastAsia" w:ascii="仿宋" w:hAnsi="仿宋" w:eastAsia="仿宋" w:cs="仿宋"/>
              <w:sz w:val="28"/>
              <w:szCs w:val="28"/>
            </w:rPr>
            <w:fldChar w:fldCharType="separate"/>
          </w:r>
          <w:r>
            <w:rPr>
              <w:rFonts w:hint="eastAsia" w:ascii="仿宋" w:hAnsi="仿宋" w:eastAsia="仿宋" w:cs="仿宋"/>
              <w:sz w:val="28"/>
              <w:szCs w:val="28"/>
            </w:rPr>
            <w:t>61</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pStyle w:val="21"/>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_Toc14066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第十章 附件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_Toc14066 \h </w:instrText>
          </w:r>
          <w:r>
            <w:rPr>
              <w:rFonts w:hint="eastAsia" w:ascii="仿宋" w:hAnsi="仿宋" w:eastAsia="仿宋" w:cs="仿宋"/>
              <w:sz w:val="28"/>
              <w:szCs w:val="28"/>
            </w:rPr>
            <w:fldChar w:fldCharType="separate"/>
          </w:r>
          <w:r>
            <w:rPr>
              <w:rFonts w:hint="eastAsia" w:ascii="仿宋" w:hAnsi="仿宋" w:eastAsia="仿宋" w:cs="仿宋"/>
              <w:sz w:val="28"/>
              <w:szCs w:val="28"/>
            </w:rPr>
            <w:t>66</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pPr>
            <w:spacing w:line="480" w:lineRule="auto"/>
            <w:jc w:val="left"/>
            <w:outlineLvl w:val="9"/>
            <w:rPr>
              <w:rFonts w:ascii="仿宋" w:hAnsi="仿宋" w:eastAsia="仿宋" w:cs="仿宋"/>
              <w:b/>
              <w:bCs/>
              <w:color w:val="auto"/>
              <w:spacing w:val="-2"/>
              <w:sz w:val="28"/>
              <w:szCs w:val="28"/>
            </w:rPr>
            <w:sectPr>
              <w:footerReference r:id="rId8" w:type="first"/>
              <w:footerReference r:id="rId7" w:type="default"/>
              <w:pgSz w:w="11850" w:h="16783"/>
              <w:pgMar w:top="1440" w:right="1395" w:bottom="1440" w:left="1500" w:header="851" w:footer="992" w:gutter="0"/>
              <w:pgBorders>
                <w:top w:val="none" w:sz="0" w:space="0"/>
                <w:left w:val="none" w:sz="0" w:space="0"/>
                <w:bottom w:val="none" w:sz="0" w:space="0"/>
                <w:right w:val="none" w:sz="0" w:space="0"/>
              </w:pgBorders>
              <w:pgNumType w:fmt="upperRoman" w:start="1"/>
              <w:cols w:space="720" w:num="1"/>
              <w:docGrid w:linePitch="312" w:charSpace="0"/>
            </w:sectPr>
          </w:pPr>
          <w:r>
            <w:rPr>
              <w:rFonts w:ascii="仿宋" w:hAnsi="仿宋" w:eastAsia="仿宋" w:cs="仿宋"/>
              <w:bCs/>
              <w:color w:val="auto"/>
              <w:spacing w:val="-2"/>
              <w:sz w:val="28"/>
              <w:szCs w:val="28"/>
            </w:rPr>
            <w:fldChar w:fldCharType="end"/>
          </w:r>
        </w:p>
      </w:sdtContent>
    </w:sdt>
    <w:p>
      <w:pPr>
        <w:keepNext w:val="0"/>
        <w:keepLines w:val="0"/>
        <w:pageBreakBefore w:val="0"/>
        <w:widowControl w:val="0"/>
        <w:kinsoku/>
        <w:wordWrap/>
        <w:overflowPunct/>
        <w:topLinePunct w:val="0"/>
        <w:autoSpaceDE/>
        <w:autoSpaceDN/>
        <w:bidi w:val="0"/>
        <w:adjustRightInd/>
        <w:snapToGrid/>
        <w:spacing w:before="157" w:beforeLines="50" w:after="313" w:afterLines="100" w:line="240" w:lineRule="auto"/>
        <w:jc w:val="center"/>
        <w:textAlignment w:val="auto"/>
        <w:outlineLvl w:val="0"/>
        <w:rPr>
          <w:rFonts w:ascii="仿宋" w:hAnsi="仿宋" w:eastAsia="仿宋" w:cs="仿宋"/>
          <w:b/>
          <w:bCs/>
          <w:color w:val="auto"/>
          <w:spacing w:val="-2"/>
          <w:sz w:val="36"/>
          <w:szCs w:val="36"/>
        </w:rPr>
      </w:pPr>
      <w:bookmarkStart w:id="4" w:name="_Toc9930"/>
      <w:bookmarkStart w:id="5" w:name="_Toc12615"/>
      <w:r>
        <w:rPr>
          <w:rFonts w:hint="eastAsia" w:ascii="仿宋" w:hAnsi="仿宋" w:eastAsia="仿宋" w:cs="仿宋"/>
          <w:b/>
          <w:bCs/>
          <w:color w:val="auto"/>
          <w:spacing w:val="-2"/>
          <w:sz w:val="36"/>
          <w:szCs w:val="36"/>
        </w:rPr>
        <w:t>第一章</w:t>
      </w:r>
      <w:r>
        <w:rPr>
          <w:rFonts w:hint="eastAsia" w:ascii="仿宋" w:hAnsi="仿宋" w:eastAsia="仿宋" w:cs="仿宋"/>
          <w:b/>
          <w:bCs/>
          <w:color w:val="auto"/>
          <w:spacing w:val="-2"/>
          <w:sz w:val="36"/>
          <w:szCs w:val="36"/>
          <w:lang w:val="en-US" w:eastAsia="zh-CN"/>
        </w:rPr>
        <w:t xml:space="preserve"> </w:t>
      </w:r>
      <w:bookmarkStart w:id="6" w:name="_Toc226699473"/>
      <w:bookmarkStart w:id="7" w:name="_Toc200874607"/>
      <w:bookmarkStart w:id="8" w:name="_Toc203812309"/>
      <w:r>
        <w:rPr>
          <w:rFonts w:hint="eastAsia" w:ascii="仿宋" w:hAnsi="仿宋" w:eastAsia="仿宋" w:cs="仿宋"/>
          <w:b/>
          <w:bCs/>
          <w:color w:val="auto"/>
          <w:spacing w:val="-2"/>
          <w:sz w:val="36"/>
          <w:szCs w:val="36"/>
        </w:rPr>
        <w:t>谈判邀请</w:t>
      </w:r>
      <w:bookmarkEnd w:id="0"/>
      <w:bookmarkEnd w:id="1"/>
      <w:bookmarkEnd w:id="2"/>
      <w:bookmarkEnd w:id="3"/>
      <w:bookmarkEnd w:id="4"/>
      <w:bookmarkEnd w:id="5"/>
    </w:p>
    <w:bookmarkEnd w:id="6"/>
    <w:bookmarkEnd w:id="7"/>
    <w:bookmarkEnd w:id="8"/>
    <w:p>
      <w:pPr>
        <w:pStyle w:val="117"/>
        <w:numPr>
          <w:ilvl w:val="0"/>
          <w:numId w:val="0"/>
        </w:numPr>
        <w:spacing w:line="360" w:lineRule="auto"/>
        <w:ind w:left="0" w:leftChars="0" w:firstLine="493" w:firstLineChars="209"/>
        <w:rPr>
          <w:rFonts w:hint="eastAsia" w:ascii="仿宋" w:hAnsi="仿宋" w:eastAsia="仿宋" w:cs="仿宋"/>
          <w:bCs/>
          <w:color w:val="auto"/>
          <w:spacing w:val="-2"/>
          <w:sz w:val="24"/>
        </w:rPr>
      </w:pPr>
      <w:bookmarkStart w:id="9" w:name="OLE_LINK23"/>
      <w:bookmarkStart w:id="10" w:name="OLE_LINK16"/>
      <w:bookmarkStart w:id="11" w:name="OLE_LINK8"/>
      <w:r>
        <w:rPr>
          <w:rFonts w:hint="eastAsia" w:ascii="仿宋" w:hAnsi="仿宋" w:eastAsia="仿宋" w:cs="仿宋"/>
          <w:color w:val="auto"/>
          <w:spacing w:val="-2"/>
          <w:sz w:val="24"/>
          <w:u w:val="single"/>
        </w:rPr>
        <w:t>四川久润招投标代理有限公司</w:t>
      </w:r>
      <w:r>
        <w:rPr>
          <w:rFonts w:hint="eastAsia" w:ascii="仿宋" w:hAnsi="仿宋" w:eastAsia="仿宋" w:cs="仿宋"/>
          <w:color w:val="auto"/>
          <w:spacing w:val="-2"/>
          <w:sz w:val="24"/>
        </w:rPr>
        <w:t>受</w:t>
      </w:r>
      <w:r>
        <w:rPr>
          <w:rFonts w:hint="eastAsia" w:ascii="仿宋" w:hAnsi="仿宋" w:eastAsia="仿宋" w:cs="仿宋"/>
          <w:color w:val="auto"/>
          <w:spacing w:val="-2"/>
          <w:sz w:val="24"/>
          <w:u w:val="single"/>
          <w:lang w:eastAsia="zh-CN"/>
        </w:rPr>
        <w:t>富顺县中医医院</w:t>
      </w:r>
      <w:r>
        <w:rPr>
          <w:rFonts w:hint="eastAsia" w:ascii="仿宋" w:hAnsi="仿宋" w:eastAsia="仿宋" w:cs="仿宋"/>
          <w:color w:val="auto"/>
          <w:spacing w:val="-2"/>
          <w:sz w:val="24"/>
        </w:rPr>
        <w:t>委托，就批准实施</w:t>
      </w:r>
      <w:r>
        <w:rPr>
          <w:rFonts w:hint="eastAsia" w:ascii="仿宋" w:hAnsi="仿宋" w:eastAsia="仿宋" w:cs="仿宋"/>
          <w:color w:val="auto"/>
          <w:spacing w:val="-2"/>
          <w:sz w:val="24"/>
          <w:u w:val="single"/>
          <w:lang w:eastAsia="zh-CN"/>
        </w:rPr>
        <w:t>富顺县中医医院CT袋、DR袋、药袋、黄色医疗垃圾袋等采购项目</w:t>
      </w:r>
      <w:r>
        <w:rPr>
          <w:rFonts w:hint="eastAsia" w:ascii="仿宋" w:hAnsi="仿宋" w:eastAsia="仿宋" w:cs="仿宋"/>
          <w:color w:val="auto"/>
          <w:spacing w:val="-2"/>
          <w:sz w:val="24"/>
        </w:rPr>
        <w:t>进行竞争性谈判</w:t>
      </w:r>
      <w:r>
        <w:rPr>
          <w:rFonts w:hint="eastAsia" w:ascii="仿宋" w:hAnsi="仿宋" w:eastAsia="仿宋" w:cs="仿宋"/>
          <w:b w:val="0"/>
          <w:bCs/>
          <w:color w:val="auto"/>
          <w:spacing w:val="-2"/>
          <w:sz w:val="24"/>
        </w:rPr>
        <w:t>，</w:t>
      </w:r>
      <w:r>
        <w:rPr>
          <w:rFonts w:hint="eastAsia" w:ascii="仿宋" w:hAnsi="仿宋" w:eastAsia="仿宋" w:cs="仿宋"/>
          <w:color w:val="auto"/>
          <w:spacing w:val="-2"/>
          <w:sz w:val="24"/>
        </w:rPr>
        <w:t>现邀请符合本次采购要求的供应商参加谈</w:t>
      </w:r>
      <w:r>
        <w:rPr>
          <w:rFonts w:hint="eastAsia" w:ascii="仿宋" w:hAnsi="仿宋" w:eastAsia="仿宋" w:cs="仿宋"/>
          <w:bCs/>
          <w:color w:val="auto"/>
          <w:spacing w:val="-2"/>
          <w:sz w:val="24"/>
        </w:rPr>
        <w:t>判。</w:t>
      </w:r>
    </w:p>
    <w:p>
      <w:pPr>
        <w:pStyle w:val="12"/>
        <w:spacing w:line="360" w:lineRule="auto"/>
        <w:rPr>
          <w:color w:val="auto"/>
          <w:sz w:val="24"/>
        </w:rPr>
      </w:pPr>
    </w:p>
    <w:p>
      <w:pPr>
        <w:spacing w:line="360" w:lineRule="auto"/>
        <w:ind w:firstLine="474" w:firstLineChars="200"/>
        <w:outlineLvl w:val="1"/>
        <w:rPr>
          <w:color w:val="auto"/>
          <w:sz w:val="24"/>
        </w:rPr>
      </w:pPr>
      <w:r>
        <w:rPr>
          <w:rFonts w:hint="eastAsia" w:ascii="仿宋" w:hAnsi="仿宋" w:eastAsia="仿宋"/>
          <w:b/>
          <w:color w:val="auto"/>
          <w:spacing w:val="-2"/>
          <w:sz w:val="24"/>
        </w:rPr>
        <w:t>一、采购项目基本情况介绍</w:t>
      </w:r>
    </w:p>
    <w:p>
      <w:pPr>
        <w:spacing w:line="360" w:lineRule="auto"/>
        <w:ind w:left="2204" w:leftChars="228" w:hanging="1725" w:hangingChars="731"/>
        <w:outlineLvl w:val="9"/>
        <w:rPr>
          <w:rFonts w:hint="eastAsia" w:ascii="仿宋" w:hAnsi="仿宋" w:eastAsia="仿宋" w:cs="仿宋"/>
          <w:bCs/>
          <w:color w:val="auto"/>
          <w:spacing w:val="-2"/>
          <w:sz w:val="24"/>
          <w:highlight w:val="none"/>
          <w:lang w:eastAsia="zh-CN"/>
        </w:rPr>
      </w:pPr>
      <w:r>
        <w:rPr>
          <w:rFonts w:hint="eastAsia" w:ascii="仿宋" w:hAnsi="仿宋" w:eastAsia="仿宋" w:cs="仿宋"/>
          <w:bCs/>
          <w:color w:val="auto"/>
          <w:spacing w:val="-2"/>
          <w:sz w:val="24"/>
        </w:rPr>
        <w:t>1.1 项目名</w:t>
      </w:r>
      <w:r>
        <w:rPr>
          <w:rFonts w:hint="eastAsia" w:ascii="仿宋" w:hAnsi="仿宋" w:eastAsia="仿宋" w:cs="仿宋"/>
          <w:bCs/>
          <w:color w:val="auto"/>
          <w:spacing w:val="-2"/>
          <w:sz w:val="24"/>
          <w:highlight w:val="none"/>
        </w:rPr>
        <w:t>称：</w:t>
      </w:r>
      <w:r>
        <w:rPr>
          <w:rFonts w:hint="eastAsia" w:ascii="仿宋" w:hAnsi="仿宋" w:eastAsia="仿宋" w:cs="仿宋"/>
          <w:color w:val="auto"/>
          <w:spacing w:val="-2"/>
          <w:sz w:val="24"/>
          <w:u w:val="none"/>
          <w:lang w:eastAsia="zh-CN"/>
        </w:rPr>
        <w:t>富顺县中医医院CT袋、DR袋、药袋、黄色医疗垃圾袋等采购项目</w:t>
      </w:r>
    </w:p>
    <w:p>
      <w:pPr>
        <w:spacing w:line="360" w:lineRule="auto"/>
        <w:ind w:left="479" w:leftChars="228"/>
        <w:outlineLvl w:val="9"/>
        <w:rPr>
          <w:rFonts w:hint="eastAsia" w:ascii="仿宋" w:hAnsi="仿宋" w:eastAsia="仿宋" w:cs="仿宋"/>
          <w:bCs/>
          <w:color w:val="auto"/>
          <w:spacing w:val="-2"/>
          <w:sz w:val="24"/>
          <w:highlight w:val="none"/>
          <w:lang w:eastAsia="zh-CN"/>
        </w:rPr>
      </w:pPr>
      <w:r>
        <w:rPr>
          <w:rFonts w:hint="eastAsia" w:ascii="仿宋" w:hAnsi="仿宋" w:eastAsia="仿宋" w:cs="仿宋"/>
          <w:bCs/>
          <w:color w:val="auto"/>
          <w:spacing w:val="-2"/>
          <w:sz w:val="24"/>
          <w:highlight w:val="none"/>
        </w:rPr>
        <w:t>1.2 项目编</w:t>
      </w:r>
      <w:r>
        <w:rPr>
          <w:rFonts w:hint="eastAsia" w:ascii="仿宋" w:hAnsi="仿宋" w:eastAsia="仿宋" w:cs="仿宋"/>
          <w:bCs/>
          <w:color w:val="auto"/>
          <w:spacing w:val="-2"/>
          <w:sz w:val="24"/>
          <w:highlight w:val="none"/>
          <w:lang w:eastAsia="zh-CN"/>
        </w:rPr>
        <w:t>号：JRZB-2024-Q066</w:t>
      </w:r>
    </w:p>
    <w:p>
      <w:pPr>
        <w:spacing w:line="360" w:lineRule="auto"/>
        <w:ind w:firstLine="472" w:firstLineChars="200"/>
        <w:outlineLvl w:val="9"/>
        <w:rPr>
          <w:rFonts w:hint="eastAsia" w:ascii="仿宋" w:hAnsi="仿宋" w:eastAsia="仿宋" w:cs="仿宋"/>
          <w:bCs/>
          <w:color w:val="auto"/>
          <w:spacing w:val="-2"/>
          <w:sz w:val="24"/>
          <w:highlight w:val="none"/>
          <w:lang w:val="en-US" w:eastAsia="zh-CN"/>
        </w:rPr>
      </w:pPr>
      <w:r>
        <w:rPr>
          <w:rFonts w:hint="eastAsia" w:ascii="仿宋" w:hAnsi="仿宋" w:eastAsia="仿宋" w:cs="仿宋"/>
          <w:bCs/>
          <w:color w:val="auto"/>
          <w:spacing w:val="-2"/>
          <w:sz w:val="24"/>
        </w:rPr>
        <w:t xml:space="preserve">1.3 </w:t>
      </w:r>
      <w:r>
        <w:rPr>
          <w:rFonts w:hint="eastAsia" w:ascii="仿宋" w:hAnsi="仿宋" w:eastAsia="仿宋" w:cs="仿宋"/>
          <w:bCs/>
          <w:color w:val="auto"/>
          <w:spacing w:val="-2"/>
          <w:sz w:val="24"/>
          <w:highlight w:val="none"/>
        </w:rPr>
        <w:t>资金来源：</w:t>
      </w:r>
      <w:r>
        <w:rPr>
          <w:rFonts w:hint="eastAsia" w:ascii="仿宋" w:hAnsi="仿宋" w:eastAsia="仿宋" w:cs="仿宋"/>
          <w:bCs/>
          <w:color w:val="auto"/>
          <w:spacing w:val="-2"/>
          <w:sz w:val="24"/>
          <w:highlight w:val="none"/>
          <w:lang w:val="en-US" w:eastAsia="zh-CN"/>
        </w:rPr>
        <w:t>自筹资金</w:t>
      </w:r>
    </w:p>
    <w:p>
      <w:pPr>
        <w:spacing w:line="360" w:lineRule="auto"/>
        <w:ind w:firstLine="472" w:firstLineChars="200"/>
        <w:outlineLvl w:val="9"/>
        <w:rPr>
          <w:rFonts w:hint="eastAsia" w:ascii="仿宋" w:hAnsi="仿宋" w:eastAsia="仿宋" w:cs="仿宋"/>
          <w:bCs/>
          <w:color w:val="auto"/>
          <w:spacing w:val="-2"/>
          <w:sz w:val="24"/>
          <w:lang w:eastAsia="zh-CN"/>
        </w:rPr>
      </w:pPr>
      <w:r>
        <w:rPr>
          <w:rFonts w:hint="eastAsia" w:ascii="仿宋" w:hAnsi="仿宋" w:eastAsia="仿宋" w:cs="仿宋"/>
          <w:bCs/>
          <w:color w:val="auto"/>
          <w:spacing w:val="-2"/>
          <w:sz w:val="24"/>
        </w:rPr>
        <w:t>1.4 预算金额：</w:t>
      </w:r>
      <w:r>
        <w:rPr>
          <w:rFonts w:hint="eastAsia" w:ascii="仿宋" w:hAnsi="仿宋" w:eastAsia="仿宋" w:cs="仿宋"/>
          <w:bCs/>
          <w:color w:val="auto"/>
          <w:spacing w:val="-2"/>
          <w:sz w:val="24"/>
          <w:lang w:val="en-US" w:eastAsia="zh-CN"/>
        </w:rPr>
        <w:t>220900.00</w:t>
      </w:r>
      <w:r>
        <w:rPr>
          <w:rFonts w:hint="eastAsia" w:ascii="仿宋" w:hAnsi="仿宋" w:eastAsia="仿宋" w:cs="仿宋"/>
          <w:bCs/>
          <w:color w:val="auto"/>
          <w:spacing w:val="-2"/>
          <w:sz w:val="24"/>
          <w:lang w:eastAsia="zh-CN"/>
        </w:rPr>
        <w:t>元</w:t>
      </w:r>
    </w:p>
    <w:p>
      <w:pPr>
        <w:spacing w:line="360" w:lineRule="auto"/>
        <w:ind w:firstLine="472" w:firstLineChars="200"/>
        <w:rPr>
          <w:rFonts w:hint="default" w:ascii="仿宋" w:hAnsi="仿宋" w:eastAsia="仿宋" w:cs="仿宋"/>
          <w:bCs/>
          <w:color w:val="auto"/>
          <w:spacing w:val="-2"/>
          <w:sz w:val="24"/>
          <w:lang w:val="en-US" w:eastAsia="zh-CN"/>
        </w:rPr>
      </w:pPr>
      <w:r>
        <w:rPr>
          <w:rFonts w:hint="eastAsia" w:ascii="仿宋" w:hAnsi="仿宋" w:eastAsia="仿宋" w:cs="仿宋"/>
          <w:bCs/>
          <w:color w:val="auto"/>
          <w:spacing w:val="-2"/>
          <w:sz w:val="24"/>
          <w:lang w:val="en-US" w:eastAsia="zh-CN"/>
        </w:rPr>
        <w:t>1.5 采购属性：货物类</w:t>
      </w:r>
    </w:p>
    <w:p>
      <w:pPr>
        <w:spacing w:line="360" w:lineRule="auto"/>
        <w:ind w:firstLine="472" w:firstLineChars="200"/>
        <w:rPr>
          <w:rFonts w:ascii="仿宋" w:hAnsi="仿宋" w:eastAsia="仿宋" w:cs="仿宋"/>
          <w:bCs/>
          <w:color w:val="auto"/>
          <w:spacing w:val="-2"/>
          <w:sz w:val="24"/>
        </w:rPr>
      </w:pPr>
      <w:r>
        <w:rPr>
          <w:rFonts w:hint="eastAsia" w:ascii="仿宋" w:hAnsi="仿宋" w:eastAsia="仿宋" w:cs="仿宋"/>
          <w:bCs/>
          <w:color w:val="auto"/>
          <w:spacing w:val="-2"/>
          <w:sz w:val="24"/>
        </w:rPr>
        <w:t>1.</w:t>
      </w:r>
      <w:r>
        <w:rPr>
          <w:rFonts w:hint="eastAsia" w:ascii="仿宋" w:hAnsi="仿宋" w:eastAsia="仿宋" w:cs="仿宋"/>
          <w:bCs/>
          <w:color w:val="auto"/>
          <w:spacing w:val="-2"/>
          <w:sz w:val="24"/>
          <w:lang w:val="en-US" w:eastAsia="zh-CN"/>
        </w:rPr>
        <w:t>6</w:t>
      </w:r>
      <w:r>
        <w:rPr>
          <w:rFonts w:hint="eastAsia" w:ascii="仿宋" w:hAnsi="仿宋" w:eastAsia="仿宋" w:cs="仿宋"/>
          <w:bCs/>
          <w:color w:val="auto"/>
          <w:spacing w:val="-2"/>
          <w:sz w:val="24"/>
        </w:rPr>
        <w:t xml:space="preserve"> 项目内容：详细内容见第五章</w:t>
      </w:r>
    </w:p>
    <w:p>
      <w:pPr>
        <w:pStyle w:val="12"/>
        <w:spacing w:line="360" w:lineRule="auto"/>
        <w:rPr>
          <w:color w:val="auto"/>
          <w:sz w:val="24"/>
          <w:highlight w:val="none"/>
        </w:rPr>
      </w:pPr>
    </w:p>
    <w:p>
      <w:pPr>
        <w:spacing w:line="360" w:lineRule="auto"/>
        <w:ind w:firstLine="474" w:firstLineChars="200"/>
        <w:outlineLvl w:val="1"/>
        <w:rPr>
          <w:color w:val="auto"/>
          <w:sz w:val="24"/>
          <w:highlight w:val="none"/>
        </w:rPr>
      </w:pPr>
      <w:r>
        <w:rPr>
          <w:rFonts w:hint="eastAsia" w:ascii="仿宋" w:hAnsi="仿宋" w:eastAsia="仿宋"/>
          <w:b/>
          <w:color w:val="auto"/>
          <w:spacing w:val="-2"/>
          <w:sz w:val="24"/>
          <w:highlight w:val="none"/>
        </w:rPr>
        <w:t>二、供应商参加本次政府采购活动应具备的条件、</w:t>
      </w:r>
      <w:r>
        <w:rPr>
          <w:rFonts w:hint="eastAsia" w:ascii="仿宋" w:hAnsi="仿宋" w:eastAsia="仿宋"/>
          <w:b/>
          <w:color w:val="auto"/>
          <w:sz w:val="24"/>
          <w:highlight w:val="none"/>
        </w:rPr>
        <w:t>邀请方式</w:t>
      </w:r>
    </w:p>
    <w:p>
      <w:pPr>
        <w:spacing w:line="360" w:lineRule="auto"/>
        <w:ind w:firstLine="473"/>
        <w:outlineLvl w:val="9"/>
        <w:rPr>
          <w:rFonts w:hint="eastAsia" w:ascii="仿宋" w:hAnsi="仿宋" w:eastAsia="仿宋" w:cs="仿宋"/>
          <w:bCs/>
          <w:color w:val="auto"/>
          <w:sz w:val="24"/>
          <w:highlight w:val="none"/>
          <w:lang w:eastAsia="zh-CN"/>
        </w:rPr>
      </w:pPr>
      <w:r>
        <w:rPr>
          <w:rFonts w:hint="eastAsia" w:ascii="仿宋" w:hAnsi="仿宋" w:eastAsia="仿宋" w:cs="仿宋"/>
          <w:bCs/>
          <w:color w:val="auto"/>
          <w:spacing w:val="-2"/>
          <w:sz w:val="24"/>
          <w:highlight w:val="none"/>
        </w:rPr>
        <w:t>2.1 供应商应具备的条件：</w:t>
      </w:r>
      <w:r>
        <w:rPr>
          <w:rFonts w:hint="eastAsia" w:ascii="仿宋" w:hAnsi="仿宋" w:eastAsia="仿宋" w:cs="仿宋"/>
          <w:bCs/>
          <w:color w:val="auto"/>
          <w:sz w:val="24"/>
          <w:highlight w:val="none"/>
        </w:rPr>
        <w:t>详细要求见</w:t>
      </w:r>
      <w:r>
        <w:rPr>
          <w:rFonts w:hint="eastAsia" w:ascii="仿宋" w:hAnsi="仿宋" w:eastAsia="仿宋" w:cs="仿宋"/>
          <w:bCs/>
          <w:color w:val="auto"/>
          <w:sz w:val="24"/>
          <w:szCs w:val="24"/>
          <w:highlight w:val="none"/>
        </w:rPr>
        <w:t>谈判文件</w:t>
      </w:r>
      <w:r>
        <w:rPr>
          <w:rFonts w:hint="eastAsia" w:ascii="仿宋" w:hAnsi="仿宋" w:eastAsia="仿宋" w:cs="仿宋"/>
          <w:bCs/>
          <w:color w:val="auto"/>
          <w:sz w:val="24"/>
          <w:highlight w:val="none"/>
        </w:rPr>
        <w:t>第三章</w:t>
      </w:r>
      <w:r>
        <w:rPr>
          <w:rFonts w:hint="eastAsia" w:ascii="仿宋" w:hAnsi="仿宋" w:eastAsia="仿宋" w:cs="仿宋"/>
          <w:bCs/>
          <w:color w:val="auto"/>
          <w:sz w:val="24"/>
          <w:highlight w:val="none"/>
          <w:lang w:eastAsia="zh-CN"/>
        </w:rPr>
        <w:t>。</w:t>
      </w:r>
    </w:p>
    <w:p>
      <w:pPr>
        <w:wordWrap w:val="0"/>
        <w:spacing w:line="360" w:lineRule="auto"/>
        <w:ind w:left="951" w:leftChars="228" w:hanging="472" w:hangingChars="200"/>
        <w:outlineLvl w:val="9"/>
        <w:rPr>
          <w:rFonts w:ascii="仿宋" w:hAnsi="仿宋" w:eastAsia="仿宋" w:cs="仿宋"/>
          <w:bCs/>
          <w:color w:val="auto"/>
          <w:spacing w:val="2"/>
          <w:sz w:val="24"/>
          <w:highlight w:val="none"/>
        </w:rPr>
      </w:pPr>
      <w:r>
        <w:rPr>
          <w:rFonts w:hint="eastAsia" w:ascii="仿宋" w:hAnsi="仿宋" w:eastAsia="仿宋"/>
          <w:color w:val="auto"/>
          <w:spacing w:val="-2"/>
          <w:sz w:val="24"/>
          <w:highlight w:val="none"/>
        </w:rPr>
        <w:t>2.2 供应商邀请方式：</w:t>
      </w:r>
      <w:r>
        <w:rPr>
          <w:rFonts w:hint="eastAsia" w:ascii="仿宋" w:hAnsi="仿宋" w:eastAsia="仿宋" w:cs="Times New Roman"/>
          <w:bCs w:val="0"/>
          <w:color w:val="auto"/>
          <w:spacing w:val="-2"/>
          <w:sz w:val="24"/>
          <w:highlight w:val="none"/>
          <w:shd w:val="clear" w:color="auto" w:fill="auto"/>
        </w:rPr>
        <w:t>本次竞争性</w:t>
      </w:r>
      <w:r>
        <w:rPr>
          <w:rFonts w:hint="eastAsia" w:ascii="仿宋" w:hAnsi="仿宋" w:eastAsia="仿宋" w:cs="Times New Roman"/>
          <w:bCs w:val="0"/>
          <w:color w:val="auto"/>
          <w:spacing w:val="-2"/>
          <w:sz w:val="24"/>
          <w:highlight w:val="none"/>
          <w:shd w:val="clear" w:color="auto" w:fill="auto"/>
          <w:lang w:eastAsia="zh-CN"/>
        </w:rPr>
        <w:t>谈判</w:t>
      </w:r>
      <w:r>
        <w:rPr>
          <w:rFonts w:hint="eastAsia" w:ascii="仿宋" w:hAnsi="仿宋" w:eastAsia="仿宋" w:cs="Times New Roman"/>
          <w:bCs w:val="0"/>
          <w:color w:val="auto"/>
          <w:spacing w:val="-2"/>
          <w:sz w:val="24"/>
          <w:highlight w:val="none"/>
          <w:shd w:val="clear" w:color="auto" w:fill="auto"/>
        </w:rPr>
        <w:t>邀请在</w:t>
      </w:r>
      <w:r>
        <w:rPr>
          <w:rFonts w:hint="eastAsia" w:ascii="仿宋" w:hAnsi="仿宋" w:eastAsia="仿宋" w:cs="Times New Roman"/>
          <w:bCs w:val="0"/>
          <w:color w:val="auto"/>
          <w:spacing w:val="-2"/>
          <w:sz w:val="24"/>
          <w:highlight w:val="none"/>
          <w:shd w:val="clear" w:color="auto" w:fill="auto"/>
          <w:lang w:val="en-US" w:eastAsia="zh-CN"/>
        </w:rPr>
        <w:t>四川招投标网（www.scbid.com）</w:t>
      </w:r>
      <w:r>
        <w:rPr>
          <w:rFonts w:hint="eastAsia" w:ascii="仿宋" w:hAnsi="仿宋" w:eastAsia="仿宋" w:cs="Times New Roman"/>
          <w:bCs w:val="0"/>
          <w:color w:val="auto"/>
          <w:spacing w:val="-2"/>
          <w:sz w:val="24"/>
          <w:highlight w:val="none"/>
          <w:shd w:val="clear" w:color="auto" w:fill="auto"/>
          <w:lang w:val="zh-CN"/>
        </w:rPr>
        <w:t>上以公告形式发布</w:t>
      </w:r>
      <w:r>
        <w:rPr>
          <w:rFonts w:hint="eastAsia" w:ascii="仿宋" w:hAnsi="仿宋" w:eastAsia="仿宋" w:cs="仿宋"/>
          <w:bCs/>
          <w:color w:val="auto"/>
          <w:spacing w:val="2"/>
          <w:sz w:val="24"/>
          <w:highlight w:val="none"/>
          <w:lang w:val="zh-CN"/>
        </w:rPr>
        <w:t>。</w:t>
      </w:r>
    </w:p>
    <w:p>
      <w:pPr>
        <w:pStyle w:val="12"/>
        <w:spacing w:line="360" w:lineRule="auto"/>
        <w:rPr>
          <w:color w:val="auto"/>
          <w:sz w:val="24"/>
          <w:highlight w:val="none"/>
        </w:rPr>
      </w:pPr>
    </w:p>
    <w:p>
      <w:pPr>
        <w:pStyle w:val="87"/>
        <w:spacing w:line="360" w:lineRule="auto"/>
        <w:ind w:firstLine="480" w:firstLineChars="0"/>
        <w:outlineLvl w:val="1"/>
        <w:rPr>
          <w:rFonts w:ascii="仿宋" w:hAnsi="仿宋" w:eastAsia="仿宋"/>
          <w:color w:val="auto"/>
          <w:sz w:val="24"/>
          <w:szCs w:val="24"/>
          <w:highlight w:val="none"/>
        </w:rPr>
      </w:pPr>
      <w:r>
        <w:rPr>
          <w:rFonts w:hint="eastAsia" w:ascii="仿宋" w:hAnsi="仿宋" w:eastAsia="仿宋"/>
          <w:b/>
          <w:color w:val="auto"/>
          <w:sz w:val="24"/>
          <w:szCs w:val="24"/>
          <w:highlight w:val="none"/>
        </w:rPr>
        <w:t>三、获取采购文件的时间、地点、方式、售价及须提供的资料</w:t>
      </w:r>
    </w:p>
    <w:p>
      <w:pPr>
        <w:pStyle w:val="87"/>
        <w:spacing w:line="360" w:lineRule="auto"/>
        <w:ind w:left="959" w:leftChars="228" w:hanging="480" w:hangingChars="200"/>
        <w:rPr>
          <w:rFonts w:ascii="仿宋" w:hAnsi="仿宋" w:eastAsia="仿宋"/>
          <w:color w:val="auto"/>
          <w:sz w:val="24"/>
          <w:szCs w:val="24"/>
          <w:highlight w:val="none"/>
        </w:rPr>
      </w:pPr>
      <w:r>
        <w:rPr>
          <w:rFonts w:hint="eastAsia" w:ascii="仿宋" w:hAnsi="仿宋" w:eastAsia="仿宋"/>
          <w:color w:val="auto"/>
          <w:sz w:val="24"/>
          <w:szCs w:val="24"/>
          <w:highlight w:val="none"/>
        </w:rPr>
        <w:t>3.1 获取采购文件的时间：</w:t>
      </w:r>
      <w:r>
        <w:rPr>
          <w:rFonts w:hint="eastAsia" w:ascii="仿宋" w:hAnsi="仿宋" w:eastAsia="仿宋"/>
          <w:color w:val="auto"/>
          <w:sz w:val="24"/>
          <w:szCs w:val="24"/>
          <w:highlight w:val="none"/>
          <w:lang w:val="en-US" w:eastAsia="zh-CN"/>
        </w:rPr>
        <w:t>2024</w:t>
      </w:r>
      <w:r>
        <w:rPr>
          <w:rFonts w:hint="eastAsia" w:ascii="仿宋" w:hAnsi="仿宋" w:eastAsia="仿宋"/>
          <w:color w:val="auto"/>
          <w:sz w:val="24"/>
          <w:szCs w:val="24"/>
          <w:highlight w:val="none"/>
        </w:rPr>
        <w:t>年</w:t>
      </w:r>
      <w:r>
        <w:rPr>
          <w:rFonts w:hint="eastAsia" w:ascii="仿宋" w:hAnsi="仿宋" w:eastAsia="仿宋"/>
          <w:color w:val="auto"/>
          <w:sz w:val="24"/>
          <w:szCs w:val="24"/>
          <w:highlight w:val="none"/>
          <w:lang w:val="en-US" w:eastAsia="zh-CN"/>
        </w:rPr>
        <w:t>4</w:t>
      </w:r>
      <w:r>
        <w:rPr>
          <w:rFonts w:hint="eastAsia" w:ascii="仿宋" w:hAnsi="仿宋" w:eastAsia="仿宋"/>
          <w:color w:val="auto"/>
          <w:sz w:val="24"/>
          <w:szCs w:val="24"/>
          <w:highlight w:val="none"/>
        </w:rPr>
        <w:t>月</w:t>
      </w:r>
      <w:r>
        <w:rPr>
          <w:rFonts w:hint="eastAsia" w:ascii="仿宋" w:hAnsi="仿宋" w:eastAsia="仿宋"/>
          <w:color w:val="auto"/>
          <w:sz w:val="24"/>
          <w:szCs w:val="24"/>
          <w:highlight w:val="none"/>
          <w:lang w:val="en-US" w:eastAsia="zh-CN"/>
        </w:rPr>
        <w:t>30</w:t>
      </w:r>
      <w:r>
        <w:rPr>
          <w:rFonts w:hint="eastAsia" w:ascii="仿宋" w:hAnsi="仿宋" w:eastAsia="仿宋"/>
          <w:color w:val="auto"/>
          <w:sz w:val="24"/>
          <w:szCs w:val="24"/>
          <w:highlight w:val="none"/>
        </w:rPr>
        <w:t>日至202</w:t>
      </w:r>
      <w:r>
        <w:rPr>
          <w:rFonts w:hint="eastAsia" w:ascii="仿宋" w:hAnsi="仿宋" w:eastAsia="仿宋"/>
          <w:color w:val="auto"/>
          <w:sz w:val="24"/>
          <w:szCs w:val="24"/>
          <w:highlight w:val="none"/>
          <w:lang w:val="en-US" w:eastAsia="zh-CN"/>
        </w:rPr>
        <w:t>4</w:t>
      </w:r>
      <w:r>
        <w:rPr>
          <w:rFonts w:hint="eastAsia" w:ascii="仿宋" w:hAnsi="仿宋" w:eastAsia="仿宋"/>
          <w:color w:val="auto"/>
          <w:sz w:val="24"/>
          <w:szCs w:val="24"/>
          <w:highlight w:val="none"/>
        </w:rPr>
        <w:t>年</w:t>
      </w:r>
      <w:r>
        <w:rPr>
          <w:rFonts w:hint="eastAsia" w:ascii="仿宋" w:hAnsi="仿宋" w:eastAsia="仿宋"/>
          <w:color w:val="auto"/>
          <w:sz w:val="24"/>
          <w:szCs w:val="24"/>
          <w:highlight w:val="none"/>
          <w:lang w:val="en-US" w:eastAsia="zh-CN"/>
        </w:rPr>
        <w:t>5</w:t>
      </w:r>
      <w:r>
        <w:rPr>
          <w:rFonts w:hint="eastAsia" w:ascii="仿宋" w:hAnsi="仿宋" w:eastAsia="仿宋"/>
          <w:color w:val="auto"/>
          <w:sz w:val="24"/>
          <w:szCs w:val="24"/>
          <w:highlight w:val="none"/>
        </w:rPr>
        <w:t>月</w:t>
      </w:r>
      <w:r>
        <w:rPr>
          <w:rFonts w:hint="eastAsia" w:ascii="仿宋" w:hAnsi="仿宋" w:eastAsia="仿宋"/>
          <w:color w:val="auto"/>
          <w:sz w:val="24"/>
          <w:szCs w:val="24"/>
          <w:highlight w:val="none"/>
          <w:lang w:val="en-US" w:eastAsia="zh-CN"/>
        </w:rPr>
        <w:t>7</w:t>
      </w:r>
      <w:r>
        <w:rPr>
          <w:rFonts w:hint="eastAsia" w:ascii="仿宋" w:hAnsi="仿宋" w:eastAsia="仿宋"/>
          <w:color w:val="auto"/>
          <w:sz w:val="24"/>
          <w:szCs w:val="24"/>
          <w:highlight w:val="none"/>
        </w:rPr>
        <w:t>日上午09:00-12:00，下午14:00-17:00(北京时间，法定节假</w:t>
      </w:r>
      <w:r>
        <w:rPr>
          <w:rFonts w:hint="eastAsia" w:ascii="仿宋" w:hAnsi="仿宋" w:eastAsia="仿宋"/>
          <w:color w:val="auto"/>
          <w:spacing w:val="-2"/>
          <w:sz w:val="24"/>
          <w:szCs w:val="24"/>
          <w:highlight w:val="none"/>
        </w:rPr>
        <w:t>日除外)。</w:t>
      </w:r>
    </w:p>
    <w:p>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3.2 获取采购文件的地点：自贡市自流井区汇东丹桂大街蓝鹰海岸综合楼二楼四川久润</w:t>
      </w:r>
      <w:r>
        <w:rPr>
          <w:rFonts w:hint="eastAsia" w:ascii="仿宋" w:hAnsi="仿宋" w:eastAsia="仿宋"/>
          <w:color w:val="auto"/>
          <w:kern w:val="0"/>
          <w:sz w:val="24"/>
          <w:szCs w:val="24"/>
          <w:highlight w:val="none"/>
        </w:rPr>
        <w:t>招投标代理有限公司获取。</w:t>
      </w:r>
    </w:p>
    <w:p>
      <w:pPr>
        <w:spacing w:line="360" w:lineRule="auto"/>
        <w:ind w:firstLine="480" w:firstLineChars="200"/>
        <w:rPr>
          <w:rFonts w:ascii="仿宋" w:hAnsi="仿宋" w:eastAsia="仿宋"/>
          <w:color w:val="auto"/>
          <w:sz w:val="24"/>
          <w:highlight w:val="none"/>
        </w:rPr>
      </w:pPr>
      <w:r>
        <w:rPr>
          <w:rFonts w:hint="eastAsia" w:ascii="仿宋" w:hAnsi="仿宋" w:eastAsia="仿宋"/>
          <w:color w:val="auto"/>
          <w:sz w:val="24"/>
          <w:highlight w:val="none"/>
        </w:rPr>
        <w:t>3.3 获取采购文件的方式：</w:t>
      </w:r>
    </w:p>
    <w:p>
      <w:pPr>
        <w:spacing w:line="360" w:lineRule="auto"/>
        <w:ind w:firstLine="840" w:firstLineChars="350"/>
        <w:rPr>
          <w:rFonts w:ascii="仿宋" w:hAnsi="仿宋" w:eastAsia="仿宋"/>
          <w:color w:val="auto"/>
          <w:sz w:val="24"/>
          <w:highlight w:val="none"/>
        </w:rPr>
      </w:pPr>
      <w:r>
        <w:rPr>
          <w:rFonts w:hint="eastAsia" w:ascii="仿宋" w:hAnsi="仿宋" w:eastAsia="仿宋"/>
          <w:color w:val="auto"/>
          <w:sz w:val="24"/>
          <w:highlight w:val="none"/>
        </w:rPr>
        <w:t>（1）代理机构现场办理；</w:t>
      </w:r>
    </w:p>
    <w:p>
      <w:pPr>
        <w:spacing w:line="360" w:lineRule="auto"/>
        <w:ind w:left="957" w:leftChars="400" w:hanging="117" w:hangingChars="49"/>
        <w:rPr>
          <w:rFonts w:hint="eastAsia" w:ascii="仿宋" w:hAnsi="仿宋" w:eastAsia="仿宋"/>
          <w:color w:val="auto"/>
          <w:sz w:val="24"/>
          <w:highlight w:val="none"/>
          <w:lang w:eastAsia="zh-CN"/>
        </w:rPr>
      </w:pPr>
      <w:r>
        <w:rPr>
          <w:rStyle w:val="34"/>
          <w:rFonts w:hint="eastAsia" w:ascii="仿宋" w:hAnsi="仿宋" w:eastAsia="仿宋"/>
          <w:color w:val="auto"/>
          <w:sz w:val="24"/>
          <w:szCs w:val="24"/>
          <w:highlight w:val="none"/>
        </w:rPr>
        <w:t>（2）若需邮购，请将报名资料传至jrzb8222@126.com</w:t>
      </w:r>
      <w:r>
        <w:rPr>
          <w:rStyle w:val="34"/>
          <w:rFonts w:hint="eastAsia" w:ascii="仿宋" w:hAnsi="仿宋" w:eastAsia="仿宋"/>
          <w:color w:val="auto"/>
          <w:sz w:val="24"/>
          <w:szCs w:val="24"/>
          <w:highlight w:val="none"/>
          <w:lang w:eastAsia="zh-CN"/>
        </w:rPr>
        <w:t>。</w:t>
      </w:r>
    </w:p>
    <w:p>
      <w:pPr>
        <w:spacing w:line="360" w:lineRule="auto"/>
        <w:ind w:firstLine="960" w:firstLineChars="400"/>
        <w:rPr>
          <w:rFonts w:ascii="仿宋" w:hAnsi="仿宋" w:eastAsia="仿宋"/>
          <w:color w:val="auto"/>
          <w:sz w:val="24"/>
          <w:highlight w:val="none"/>
        </w:rPr>
      </w:pPr>
      <w:r>
        <w:rPr>
          <w:rFonts w:hint="eastAsia" w:ascii="仿宋" w:hAnsi="仿宋" w:eastAsia="仿宋"/>
          <w:color w:val="auto"/>
          <w:sz w:val="24"/>
          <w:highlight w:val="none"/>
        </w:rPr>
        <w:t>注：采购文件售后不退</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谈判资格不能转让。</w:t>
      </w:r>
    </w:p>
    <w:p>
      <w:pPr>
        <w:pStyle w:val="87"/>
        <w:spacing w:line="360" w:lineRule="auto"/>
        <w:ind w:firstLine="480" w:firstLineChars="0"/>
        <w:rPr>
          <w:rFonts w:ascii="仿宋" w:hAnsi="仿宋" w:eastAsia="仿宋"/>
          <w:color w:val="auto"/>
          <w:sz w:val="24"/>
          <w:szCs w:val="24"/>
          <w:highlight w:val="none"/>
        </w:rPr>
      </w:pPr>
      <w:r>
        <w:rPr>
          <w:rFonts w:hint="eastAsia" w:ascii="仿宋" w:hAnsi="仿宋" w:eastAsia="仿宋"/>
          <w:color w:val="auto"/>
          <w:sz w:val="24"/>
          <w:szCs w:val="24"/>
          <w:highlight w:val="none"/>
        </w:rPr>
        <w:t>3.4 获取采购文件的售价：</w:t>
      </w:r>
      <w:r>
        <w:rPr>
          <w:rFonts w:hint="eastAsia" w:ascii="仿宋" w:hAnsi="仿宋" w:eastAsia="仿宋"/>
          <w:color w:val="auto"/>
          <w:sz w:val="24"/>
          <w:szCs w:val="24"/>
          <w:highlight w:val="none"/>
          <w:lang w:val="en-US" w:eastAsia="zh-CN"/>
        </w:rPr>
        <w:t>0</w:t>
      </w:r>
      <w:r>
        <w:rPr>
          <w:rFonts w:hint="eastAsia" w:ascii="仿宋" w:hAnsi="仿宋" w:eastAsia="仿宋"/>
          <w:color w:val="auto"/>
          <w:sz w:val="24"/>
          <w:szCs w:val="24"/>
          <w:highlight w:val="none"/>
        </w:rPr>
        <w:t>元/份。</w:t>
      </w:r>
    </w:p>
    <w:p>
      <w:pPr>
        <w:spacing w:line="360" w:lineRule="auto"/>
        <w:ind w:firstLine="480" w:firstLineChars="200"/>
        <w:rPr>
          <w:rFonts w:ascii="仿宋" w:hAnsi="仿宋" w:eastAsia="仿宋"/>
          <w:color w:val="auto"/>
          <w:sz w:val="24"/>
          <w:highlight w:val="none"/>
        </w:rPr>
      </w:pPr>
      <w:r>
        <w:rPr>
          <w:rFonts w:hint="eastAsia" w:ascii="仿宋" w:hAnsi="仿宋" w:eastAsia="仿宋"/>
          <w:color w:val="auto"/>
          <w:sz w:val="24"/>
          <w:highlight w:val="none"/>
        </w:rPr>
        <w:t>3.5 获取采购文件时，须提供以下资料</w:t>
      </w:r>
      <w:r>
        <w:rPr>
          <w:rFonts w:hint="eastAsia" w:ascii="仿宋" w:hAnsi="仿宋" w:eastAsia="仿宋"/>
          <w:b/>
          <w:color w:val="auto"/>
          <w:sz w:val="24"/>
          <w:highlight w:val="none"/>
        </w:rPr>
        <w:t>：</w:t>
      </w:r>
    </w:p>
    <w:p>
      <w:pPr>
        <w:pStyle w:val="12"/>
        <w:spacing w:line="360" w:lineRule="auto"/>
        <w:ind w:left="448" w:firstLine="480" w:firstLineChars="200"/>
        <w:rPr>
          <w:rFonts w:ascii="仿宋" w:hAnsi="仿宋" w:eastAsia="仿宋"/>
          <w:color w:val="auto"/>
          <w:sz w:val="24"/>
          <w:highlight w:val="none"/>
        </w:rPr>
      </w:pPr>
      <w:r>
        <w:rPr>
          <w:rFonts w:hint="eastAsia" w:ascii="仿宋" w:hAnsi="仿宋" w:eastAsia="仿宋"/>
          <w:color w:val="auto"/>
          <w:sz w:val="24"/>
          <w:highlight w:val="none"/>
        </w:rPr>
        <w:t>（1）单位介绍信加盖公章；</w:t>
      </w:r>
    </w:p>
    <w:p>
      <w:pPr>
        <w:pStyle w:val="12"/>
        <w:spacing w:line="360" w:lineRule="auto"/>
        <w:ind w:left="448" w:firstLine="480" w:firstLineChars="200"/>
        <w:rPr>
          <w:rFonts w:ascii="仿宋" w:hAnsi="仿宋" w:eastAsia="仿宋"/>
          <w:color w:val="auto"/>
          <w:sz w:val="24"/>
          <w:highlight w:val="none"/>
        </w:rPr>
      </w:pPr>
      <w:r>
        <w:rPr>
          <w:rFonts w:hint="eastAsia" w:ascii="仿宋" w:hAnsi="仿宋" w:eastAsia="仿宋"/>
          <w:color w:val="auto"/>
          <w:sz w:val="24"/>
          <w:highlight w:val="none"/>
        </w:rPr>
        <w:t>（2）经办人身份证</w:t>
      </w:r>
      <w:r>
        <w:rPr>
          <w:rFonts w:hint="eastAsia" w:ascii="仿宋" w:hAnsi="仿宋" w:eastAsia="仿宋"/>
          <w:color w:val="auto"/>
          <w:sz w:val="24"/>
          <w:highlight w:val="none"/>
          <w:lang w:eastAsia="zh-CN"/>
        </w:rPr>
        <w:t>影印件</w:t>
      </w:r>
      <w:r>
        <w:rPr>
          <w:rFonts w:hint="eastAsia" w:ascii="仿宋" w:hAnsi="仿宋" w:eastAsia="仿宋"/>
          <w:color w:val="auto"/>
          <w:sz w:val="24"/>
          <w:highlight w:val="none"/>
        </w:rPr>
        <w:t>加盖公章；</w:t>
      </w:r>
    </w:p>
    <w:p>
      <w:pPr>
        <w:pStyle w:val="87"/>
        <w:spacing w:line="360" w:lineRule="auto"/>
        <w:ind w:firstLine="960" w:firstLineChars="400"/>
        <w:rPr>
          <w:rFonts w:ascii="仿宋" w:hAnsi="仿宋" w:eastAsia="仿宋"/>
          <w:color w:val="auto"/>
          <w:sz w:val="24"/>
          <w:szCs w:val="24"/>
          <w:highlight w:val="none"/>
        </w:rPr>
      </w:pPr>
      <w:r>
        <w:rPr>
          <w:rFonts w:hint="eastAsia" w:ascii="仿宋" w:hAnsi="仿宋" w:eastAsia="仿宋"/>
          <w:color w:val="auto"/>
          <w:sz w:val="24"/>
          <w:szCs w:val="24"/>
          <w:highlight w:val="none"/>
        </w:rPr>
        <w:t>（3）供应商报名登记表加盖公章。</w:t>
      </w:r>
    </w:p>
    <w:p>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 xml:space="preserve">3.6 </w:t>
      </w:r>
      <w:r>
        <w:rPr>
          <w:rFonts w:hint="eastAsia" w:ascii="仿宋" w:hAnsi="仿宋" w:eastAsia="仿宋" w:cs="仿宋"/>
          <w:color w:val="auto"/>
          <w:sz w:val="24"/>
          <w:highlight w:val="none"/>
          <w:lang w:eastAsia="zh-CN"/>
        </w:rPr>
        <w:t>标书费用收款</w:t>
      </w:r>
      <w:r>
        <w:rPr>
          <w:rFonts w:hint="eastAsia" w:ascii="仿宋" w:hAnsi="仿宋" w:eastAsia="仿宋" w:cs="仿宋"/>
          <w:color w:val="auto"/>
          <w:sz w:val="24"/>
          <w:highlight w:val="none"/>
        </w:rPr>
        <w:t>账户：</w:t>
      </w:r>
    </w:p>
    <w:p>
      <w:pPr>
        <w:spacing w:line="360" w:lineRule="auto"/>
        <w:ind w:firstLine="960" w:firstLineChars="400"/>
        <w:rPr>
          <w:rFonts w:ascii="仿宋" w:hAnsi="仿宋" w:eastAsia="仿宋" w:cs="仿宋"/>
          <w:color w:val="auto"/>
          <w:sz w:val="24"/>
          <w:highlight w:val="none"/>
        </w:rPr>
      </w:pPr>
      <w:r>
        <w:rPr>
          <w:rFonts w:hint="eastAsia" w:ascii="仿宋" w:hAnsi="仿宋" w:eastAsia="仿宋" w:cs="仿宋"/>
          <w:color w:val="auto"/>
          <w:sz w:val="24"/>
          <w:highlight w:val="none"/>
        </w:rPr>
        <w:t>户  名：四川久润招投标代理有限公司</w:t>
      </w:r>
    </w:p>
    <w:p>
      <w:pPr>
        <w:spacing w:line="360" w:lineRule="auto"/>
        <w:ind w:firstLine="960" w:firstLineChars="400"/>
        <w:rPr>
          <w:rFonts w:ascii="仿宋" w:hAnsi="仿宋" w:eastAsia="仿宋" w:cs="仿宋"/>
          <w:color w:val="auto"/>
          <w:sz w:val="24"/>
          <w:highlight w:val="none"/>
        </w:rPr>
      </w:pPr>
      <w:r>
        <w:rPr>
          <w:rFonts w:hint="eastAsia" w:ascii="仿宋" w:hAnsi="仿宋" w:eastAsia="仿宋" w:cs="仿宋"/>
          <w:color w:val="auto"/>
          <w:sz w:val="24"/>
          <w:highlight w:val="none"/>
        </w:rPr>
        <w:t>帐  号：102012000001139849</w:t>
      </w:r>
    </w:p>
    <w:p>
      <w:pPr>
        <w:spacing w:line="360" w:lineRule="auto"/>
        <w:ind w:firstLine="960" w:firstLineChars="400"/>
        <w:rPr>
          <w:rFonts w:ascii="仿宋" w:hAnsi="仿宋" w:eastAsia="仿宋" w:cs="仿宋"/>
          <w:color w:val="auto"/>
          <w:sz w:val="24"/>
          <w:highlight w:val="none"/>
        </w:rPr>
      </w:pPr>
      <w:r>
        <w:rPr>
          <w:rFonts w:hint="eastAsia" w:ascii="仿宋" w:hAnsi="仿宋" w:eastAsia="仿宋" w:cs="仿宋"/>
          <w:color w:val="auto"/>
          <w:sz w:val="24"/>
          <w:highlight w:val="none"/>
        </w:rPr>
        <w:t>开户行：自贡银行股份有限公司营业部</w:t>
      </w:r>
    </w:p>
    <w:p>
      <w:pPr>
        <w:pStyle w:val="12"/>
        <w:spacing w:line="360" w:lineRule="auto"/>
        <w:rPr>
          <w:color w:val="auto"/>
          <w:sz w:val="24"/>
          <w:highlight w:val="none"/>
        </w:rPr>
      </w:pPr>
    </w:p>
    <w:p>
      <w:pPr>
        <w:pStyle w:val="87"/>
        <w:spacing w:line="360" w:lineRule="auto"/>
        <w:ind w:firstLine="480" w:firstLineChars="0"/>
        <w:outlineLvl w:val="1"/>
        <w:rPr>
          <w:rFonts w:ascii="仿宋" w:hAnsi="仿宋" w:eastAsia="仿宋"/>
          <w:b/>
          <w:color w:val="auto"/>
          <w:sz w:val="24"/>
          <w:szCs w:val="24"/>
          <w:highlight w:val="none"/>
        </w:rPr>
      </w:pPr>
      <w:r>
        <w:rPr>
          <w:rFonts w:hint="eastAsia" w:ascii="仿宋" w:hAnsi="仿宋" w:eastAsia="仿宋"/>
          <w:b/>
          <w:color w:val="auto"/>
          <w:sz w:val="24"/>
          <w:szCs w:val="24"/>
          <w:highlight w:val="none"/>
        </w:rPr>
        <w:t>四、响应文件的递交时间、地点和接收</w:t>
      </w:r>
    </w:p>
    <w:p>
      <w:pPr>
        <w:pStyle w:val="87"/>
        <w:spacing w:line="360" w:lineRule="auto"/>
        <w:ind w:firstLine="480" w:firstLineChars="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rPr>
        <w:t>4.1 响应文件的递交时间：</w:t>
      </w:r>
      <w:r>
        <w:rPr>
          <w:rFonts w:hint="eastAsia" w:ascii="仿宋" w:hAnsi="仿宋" w:eastAsia="仿宋"/>
          <w:b/>
          <w:color w:val="auto"/>
          <w:sz w:val="24"/>
          <w:highlight w:val="none"/>
        </w:rPr>
        <w:t>202</w:t>
      </w:r>
      <w:r>
        <w:rPr>
          <w:rFonts w:hint="eastAsia" w:ascii="仿宋" w:hAnsi="仿宋" w:eastAsia="仿宋"/>
          <w:b/>
          <w:color w:val="auto"/>
          <w:sz w:val="24"/>
          <w:highlight w:val="none"/>
          <w:lang w:val="en-US" w:eastAsia="zh-CN"/>
        </w:rPr>
        <w:t>4</w:t>
      </w:r>
      <w:r>
        <w:rPr>
          <w:rFonts w:hint="eastAsia" w:ascii="仿宋" w:hAnsi="仿宋" w:eastAsia="仿宋"/>
          <w:b/>
          <w:color w:val="auto"/>
          <w:sz w:val="24"/>
          <w:highlight w:val="none"/>
        </w:rPr>
        <w:t>年</w:t>
      </w:r>
      <w:r>
        <w:rPr>
          <w:rFonts w:hint="eastAsia" w:ascii="仿宋" w:hAnsi="仿宋" w:eastAsia="仿宋"/>
          <w:b/>
          <w:color w:val="auto"/>
          <w:sz w:val="24"/>
          <w:highlight w:val="none"/>
          <w:lang w:val="en-US" w:eastAsia="zh-CN"/>
        </w:rPr>
        <w:t>5</w:t>
      </w:r>
      <w:r>
        <w:rPr>
          <w:rFonts w:hint="eastAsia" w:ascii="仿宋" w:hAnsi="仿宋" w:eastAsia="仿宋"/>
          <w:b/>
          <w:color w:val="auto"/>
          <w:sz w:val="24"/>
          <w:highlight w:val="none"/>
        </w:rPr>
        <w:t>月</w:t>
      </w:r>
      <w:r>
        <w:rPr>
          <w:rFonts w:hint="eastAsia" w:ascii="仿宋" w:hAnsi="仿宋" w:eastAsia="仿宋"/>
          <w:b/>
          <w:color w:val="auto"/>
          <w:sz w:val="24"/>
          <w:highlight w:val="none"/>
          <w:lang w:val="en-US" w:eastAsia="zh-CN"/>
        </w:rPr>
        <w:t>8</w:t>
      </w:r>
      <w:r>
        <w:rPr>
          <w:rFonts w:hint="eastAsia" w:ascii="仿宋" w:hAnsi="仿宋" w:eastAsia="仿宋"/>
          <w:b/>
          <w:color w:val="auto"/>
          <w:sz w:val="24"/>
          <w:highlight w:val="none"/>
        </w:rPr>
        <w:t>日</w:t>
      </w:r>
      <w:r>
        <w:rPr>
          <w:rFonts w:hint="eastAsia" w:ascii="仿宋" w:hAnsi="仿宋" w:eastAsia="仿宋"/>
          <w:b/>
          <w:color w:val="auto"/>
          <w:sz w:val="24"/>
          <w:highlight w:val="none"/>
          <w:lang w:val="en-US" w:eastAsia="zh-CN"/>
        </w:rPr>
        <w:t>09</w:t>
      </w:r>
      <w:r>
        <w:rPr>
          <w:rFonts w:hint="eastAsia" w:ascii="仿宋" w:hAnsi="仿宋" w:eastAsia="仿宋"/>
          <w:b/>
          <w:color w:val="auto"/>
          <w:sz w:val="24"/>
          <w:highlight w:val="none"/>
        </w:rPr>
        <w:t>:</w:t>
      </w:r>
      <w:r>
        <w:rPr>
          <w:rFonts w:hint="eastAsia" w:ascii="仿宋" w:hAnsi="仿宋" w:eastAsia="仿宋"/>
          <w:b/>
          <w:color w:val="auto"/>
          <w:sz w:val="24"/>
          <w:highlight w:val="none"/>
          <w:lang w:val="en-US" w:eastAsia="zh-CN"/>
        </w:rPr>
        <w:t>30</w:t>
      </w:r>
      <w:r>
        <w:rPr>
          <w:rFonts w:hint="eastAsia" w:ascii="仿宋" w:hAnsi="仿宋" w:eastAsia="仿宋"/>
          <w:b/>
          <w:color w:val="auto"/>
          <w:sz w:val="24"/>
          <w:highlight w:val="none"/>
        </w:rPr>
        <w:t>-</w:t>
      </w:r>
      <w:r>
        <w:rPr>
          <w:rFonts w:hint="eastAsia" w:ascii="仿宋" w:hAnsi="仿宋" w:eastAsia="仿宋"/>
          <w:b/>
          <w:color w:val="auto"/>
          <w:sz w:val="24"/>
          <w:highlight w:val="none"/>
          <w:lang w:val="en-US" w:eastAsia="zh-CN"/>
        </w:rPr>
        <w:t>10</w:t>
      </w:r>
      <w:r>
        <w:rPr>
          <w:rFonts w:hint="eastAsia" w:ascii="仿宋" w:hAnsi="仿宋" w:eastAsia="仿宋"/>
          <w:b/>
          <w:color w:val="auto"/>
          <w:sz w:val="24"/>
          <w:highlight w:val="none"/>
        </w:rPr>
        <w:t>:</w:t>
      </w:r>
      <w:r>
        <w:rPr>
          <w:rFonts w:hint="eastAsia" w:ascii="仿宋" w:hAnsi="仿宋" w:eastAsia="仿宋"/>
          <w:b/>
          <w:color w:val="auto"/>
          <w:sz w:val="24"/>
          <w:highlight w:val="none"/>
          <w:lang w:val="en-US" w:eastAsia="zh-CN"/>
        </w:rPr>
        <w:t>0</w:t>
      </w:r>
      <w:r>
        <w:rPr>
          <w:rFonts w:hint="eastAsia" w:ascii="仿宋" w:hAnsi="仿宋" w:eastAsia="仿宋"/>
          <w:b/>
          <w:color w:val="auto"/>
          <w:sz w:val="24"/>
          <w:highlight w:val="none"/>
        </w:rPr>
        <w:t>0（北京时间）</w:t>
      </w:r>
      <w:r>
        <w:rPr>
          <w:rFonts w:hint="eastAsia" w:ascii="仿宋" w:hAnsi="仿宋" w:eastAsia="仿宋"/>
          <w:b/>
          <w:color w:val="auto"/>
          <w:sz w:val="24"/>
          <w:highlight w:val="none"/>
          <w:lang w:eastAsia="zh-CN"/>
        </w:rPr>
        <w:t>。</w:t>
      </w:r>
    </w:p>
    <w:p>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4.2 响应文件的递交地点：自贡市自流井区汇东丹桂大街蓝鹰海岸综合楼二楼四川久润招投标代理有限公司开标3厅。</w:t>
      </w:r>
    </w:p>
    <w:p>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4.3 响应文件的递交要求：响应文件必须在递交响应文件截止时间前送达谈判地点。供应商递交响应文件时应当在采购代理机构的“供应商签到表”上签字确认，否则产生的不利后果由供应商自行承担。逾期送达、密封和标注错误的响应文件，采购单位恕不接收。本次采购不接收邮寄的响应文件。</w:t>
      </w:r>
    </w:p>
    <w:p>
      <w:pPr>
        <w:pStyle w:val="12"/>
        <w:spacing w:line="360" w:lineRule="auto"/>
        <w:rPr>
          <w:color w:val="auto"/>
          <w:sz w:val="24"/>
          <w:highlight w:val="none"/>
        </w:rPr>
      </w:pPr>
    </w:p>
    <w:p>
      <w:pPr>
        <w:spacing w:line="360" w:lineRule="auto"/>
        <w:ind w:firstLine="482" w:firstLineChars="200"/>
        <w:outlineLvl w:val="1"/>
        <w:rPr>
          <w:rFonts w:ascii="仿宋" w:hAnsi="仿宋" w:eastAsia="仿宋"/>
          <w:b/>
          <w:color w:val="auto"/>
          <w:sz w:val="24"/>
          <w:highlight w:val="none"/>
        </w:rPr>
      </w:pPr>
      <w:r>
        <w:rPr>
          <w:rFonts w:hint="eastAsia" w:ascii="仿宋" w:hAnsi="仿宋" w:eastAsia="仿宋"/>
          <w:b/>
          <w:color w:val="auto"/>
          <w:sz w:val="24"/>
          <w:highlight w:val="none"/>
        </w:rPr>
        <w:t>五、</w:t>
      </w:r>
      <w:r>
        <w:rPr>
          <w:rFonts w:hint="eastAsia" w:ascii="仿宋" w:hAnsi="仿宋" w:eastAsia="仿宋"/>
          <w:b/>
          <w:color w:val="auto"/>
          <w:sz w:val="24"/>
          <w:highlight w:val="none"/>
          <w:lang w:val="zh-CN"/>
        </w:rPr>
        <w:t>递交响应</w:t>
      </w:r>
      <w:r>
        <w:rPr>
          <w:rFonts w:hint="eastAsia" w:ascii="仿宋" w:hAnsi="仿宋" w:eastAsia="仿宋"/>
          <w:b/>
          <w:color w:val="auto"/>
          <w:kern w:val="0"/>
          <w:sz w:val="24"/>
          <w:highlight w:val="none"/>
          <w:lang w:val="zh-CN"/>
        </w:rPr>
        <w:t>文件</w:t>
      </w:r>
      <w:r>
        <w:rPr>
          <w:rFonts w:hint="eastAsia" w:ascii="仿宋" w:hAnsi="仿宋" w:eastAsia="仿宋"/>
          <w:b/>
          <w:color w:val="auto"/>
          <w:sz w:val="24"/>
          <w:highlight w:val="none"/>
        </w:rPr>
        <w:t>截止时间、谈判时间及地点</w:t>
      </w:r>
    </w:p>
    <w:p>
      <w:pPr>
        <w:pStyle w:val="12"/>
        <w:spacing w:line="360" w:lineRule="auto"/>
        <w:ind w:firstLine="480" w:firstLineChars="200"/>
        <w:rPr>
          <w:rFonts w:hint="eastAsia" w:ascii="仿宋" w:hAnsi="仿宋" w:eastAsia="仿宋"/>
          <w:b/>
          <w:color w:val="auto"/>
          <w:sz w:val="24"/>
          <w:highlight w:val="none"/>
          <w:lang w:eastAsia="zh-CN"/>
        </w:rPr>
      </w:pPr>
      <w:r>
        <w:rPr>
          <w:rFonts w:hint="eastAsia" w:ascii="仿宋" w:hAnsi="仿宋" w:eastAsia="仿宋"/>
          <w:color w:val="auto"/>
          <w:sz w:val="24"/>
          <w:highlight w:val="none"/>
        </w:rPr>
        <w:t xml:space="preserve">5.1 </w:t>
      </w:r>
      <w:r>
        <w:rPr>
          <w:rFonts w:hint="eastAsia" w:ascii="仿宋" w:hAnsi="仿宋" w:eastAsia="仿宋"/>
          <w:color w:val="auto"/>
          <w:sz w:val="24"/>
          <w:highlight w:val="none"/>
          <w:lang w:val="zh-CN"/>
        </w:rPr>
        <w:t>递交响应</w:t>
      </w:r>
      <w:r>
        <w:rPr>
          <w:rFonts w:hint="eastAsia" w:ascii="仿宋" w:hAnsi="仿宋" w:eastAsia="仿宋"/>
          <w:color w:val="auto"/>
          <w:kern w:val="0"/>
          <w:sz w:val="24"/>
          <w:highlight w:val="none"/>
          <w:lang w:val="zh-CN"/>
        </w:rPr>
        <w:t>文件</w:t>
      </w:r>
      <w:r>
        <w:rPr>
          <w:rFonts w:hint="eastAsia" w:ascii="仿宋" w:hAnsi="仿宋" w:eastAsia="仿宋"/>
          <w:color w:val="auto"/>
          <w:sz w:val="24"/>
          <w:highlight w:val="none"/>
        </w:rPr>
        <w:t>截止时间、谈判时间</w:t>
      </w:r>
      <w:r>
        <w:rPr>
          <w:rFonts w:hint="eastAsia" w:ascii="仿宋" w:hAnsi="仿宋" w:eastAsia="仿宋"/>
          <w:b/>
          <w:color w:val="auto"/>
          <w:sz w:val="24"/>
          <w:highlight w:val="none"/>
          <w:lang w:val="en-US" w:eastAsia="zh-CN"/>
        </w:rPr>
        <w:t>:</w:t>
      </w:r>
      <w:r>
        <w:rPr>
          <w:rFonts w:hint="eastAsia" w:ascii="仿宋" w:hAnsi="仿宋" w:eastAsia="仿宋"/>
          <w:b/>
          <w:color w:val="auto"/>
          <w:sz w:val="24"/>
          <w:highlight w:val="none"/>
        </w:rPr>
        <w:t>202</w:t>
      </w:r>
      <w:r>
        <w:rPr>
          <w:rFonts w:hint="eastAsia" w:ascii="仿宋" w:hAnsi="仿宋" w:eastAsia="仿宋"/>
          <w:b/>
          <w:color w:val="auto"/>
          <w:sz w:val="24"/>
          <w:highlight w:val="none"/>
          <w:lang w:val="en-US" w:eastAsia="zh-CN"/>
        </w:rPr>
        <w:t>4</w:t>
      </w:r>
      <w:r>
        <w:rPr>
          <w:rFonts w:hint="eastAsia" w:ascii="仿宋" w:hAnsi="仿宋" w:eastAsia="仿宋"/>
          <w:b/>
          <w:color w:val="auto"/>
          <w:sz w:val="24"/>
          <w:highlight w:val="none"/>
        </w:rPr>
        <w:t>年</w:t>
      </w:r>
      <w:r>
        <w:rPr>
          <w:rFonts w:hint="eastAsia" w:ascii="仿宋" w:hAnsi="仿宋" w:eastAsia="仿宋"/>
          <w:b/>
          <w:color w:val="auto"/>
          <w:sz w:val="24"/>
          <w:highlight w:val="none"/>
          <w:lang w:val="en-US" w:eastAsia="zh-CN"/>
        </w:rPr>
        <w:t>5</w:t>
      </w:r>
      <w:r>
        <w:rPr>
          <w:rFonts w:hint="eastAsia" w:ascii="仿宋" w:hAnsi="仿宋" w:eastAsia="仿宋"/>
          <w:b/>
          <w:color w:val="auto"/>
          <w:sz w:val="24"/>
          <w:highlight w:val="none"/>
        </w:rPr>
        <w:t>月</w:t>
      </w:r>
      <w:r>
        <w:rPr>
          <w:rFonts w:hint="eastAsia" w:ascii="仿宋" w:hAnsi="仿宋" w:eastAsia="仿宋"/>
          <w:b/>
          <w:color w:val="auto"/>
          <w:sz w:val="24"/>
          <w:highlight w:val="none"/>
          <w:lang w:val="en-US" w:eastAsia="zh-CN"/>
        </w:rPr>
        <w:t>8</w:t>
      </w:r>
      <w:r>
        <w:rPr>
          <w:rFonts w:hint="eastAsia" w:ascii="仿宋" w:hAnsi="仿宋" w:eastAsia="仿宋"/>
          <w:b/>
          <w:color w:val="auto"/>
          <w:sz w:val="24"/>
          <w:highlight w:val="none"/>
        </w:rPr>
        <w:t>日</w:t>
      </w:r>
      <w:r>
        <w:rPr>
          <w:rFonts w:hint="eastAsia" w:ascii="仿宋" w:hAnsi="仿宋" w:eastAsia="仿宋"/>
          <w:b/>
          <w:color w:val="auto"/>
          <w:sz w:val="24"/>
          <w:highlight w:val="none"/>
          <w:lang w:val="en-US" w:eastAsia="zh-CN"/>
        </w:rPr>
        <w:t>10</w:t>
      </w:r>
      <w:r>
        <w:rPr>
          <w:rFonts w:hint="eastAsia" w:ascii="仿宋" w:hAnsi="仿宋" w:eastAsia="仿宋"/>
          <w:b/>
          <w:color w:val="auto"/>
          <w:sz w:val="24"/>
          <w:highlight w:val="none"/>
        </w:rPr>
        <w:t>:</w:t>
      </w:r>
      <w:r>
        <w:rPr>
          <w:rFonts w:hint="eastAsia" w:ascii="仿宋" w:hAnsi="仿宋" w:eastAsia="仿宋"/>
          <w:b/>
          <w:color w:val="auto"/>
          <w:sz w:val="24"/>
          <w:highlight w:val="none"/>
          <w:lang w:val="en-US" w:eastAsia="zh-CN"/>
        </w:rPr>
        <w:t>00</w:t>
      </w:r>
      <w:r>
        <w:rPr>
          <w:rFonts w:hint="eastAsia" w:ascii="仿宋" w:hAnsi="仿宋" w:eastAsia="仿宋"/>
          <w:b/>
          <w:color w:val="auto"/>
          <w:sz w:val="24"/>
          <w:highlight w:val="none"/>
        </w:rPr>
        <w:t>（北京时间）</w:t>
      </w:r>
      <w:r>
        <w:rPr>
          <w:rFonts w:hint="eastAsia" w:ascii="仿宋" w:hAnsi="仿宋" w:eastAsia="仿宋"/>
          <w:b/>
          <w:color w:val="auto"/>
          <w:sz w:val="24"/>
          <w:highlight w:val="none"/>
          <w:lang w:eastAsia="zh-CN"/>
        </w:rPr>
        <w:t>。</w:t>
      </w:r>
    </w:p>
    <w:p>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5.2 谈判地点：自贡市自流井区汇东丹桂大街蓝鹰海岸综合楼二楼四川久润招投标代理有限公司</w:t>
      </w:r>
      <w:r>
        <w:rPr>
          <w:rFonts w:hint="eastAsia" w:ascii="仿宋" w:hAnsi="仿宋" w:eastAsia="仿宋"/>
          <w:color w:val="auto"/>
          <w:sz w:val="24"/>
          <w:highlight w:val="none"/>
          <w:lang w:eastAsia="zh-CN"/>
        </w:rPr>
        <w:t>评审室</w:t>
      </w:r>
      <w:r>
        <w:rPr>
          <w:rFonts w:hint="eastAsia" w:ascii="仿宋" w:hAnsi="仿宋" w:eastAsia="仿宋"/>
          <w:color w:val="auto"/>
          <w:sz w:val="24"/>
          <w:highlight w:val="none"/>
        </w:rPr>
        <w:t>。</w:t>
      </w:r>
    </w:p>
    <w:p>
      <w:pPr>
        <w:pStyle w:val="12"/>
        <w:spacing w:line="360" w:lineRule="auto"/>
        <w:rPr>
          <w:color w:val="auto"/>
          <w:sz w:val="24"/>
          <w:highlight w:val="none"/>
        </w:rPr>
      </w:pPr>
    </w:p>
    <w:p>
      <w:pPr>
        <w:spacing w:line="360" w:lineRule="auto"/>
        <w:ind w:firstLine="490" w:firstLineChars="200"/>
        <w:outlineLvl w:val="1"/>
        <w:rPr>
          <w:color w:val="auto"/>
          <w:sz w:val="24"/>
          <w:highlight w:val="none"/>
        </w:rPr>
      </w:pPr>
      <w:r>
        <w:rPr>
          <w:rFonts w:hint="eastAsia" w:ascii="仿宋" w:hAnsi="仿宋" w:eastAsia="仿宋" w:cs="仿宋"/>
          <w:b/>
          <w:color w:val="auto"/>
          <w:spacing w:val="2"/>
          <w:sz w:val="24"/>
          <w:highlight w:val="none"/>
        </w:rPr>
        <w:t>六、联系方式</w:t>
      </w:r>
    </w:p>
    <w:p>
      <w:pPr>
        <w:pStyle w:val="87"/>
        <w:keepNext w:val="0"/>
        <w:keepLines w:val="0"/>
        <w:pageBreakBefore w:val="0"/>
        <w:kinsoku/>
        <w:wordWrap/>
        <w:overflowPunct/>
        <w:topLinePunct w:val="0"/>
        <w:autoSpaceDE/>
        <w:autoSpaceDN/>
        <w:bidi w:val="0"/>
        <w:adjustRightInd/>
        <w:snapToGrid/>
        <w:spacing w:line="360" w:lineRule="auto"/>
        <w:ind w:firstLine="964" w:firstLineChars="4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采购人： 富顺县中医医院</w:t>
      </w:r>
    </w:p>
    <w:p>
      <w:pPr>
        <w:pStyle w:val="87"/>
        <w:keepNext w:val="0"/>
        <w:keepLines w:val="0"/>
        <w:pageBreakBefore w:val="0"/>
        <w:kinsoku/>
        <w:wordWrap/>
        <w:overflowPunct/>
        <w:topLinePunct w:val="0"/>
        <w:autoSpaceDE/>
        <w:autoSpaceDN/>
        <w:bidi w:val="0"/>
        <w:adjustRightInd/>
        <w:snapToGrid/>
        <w:spacing w:line="360" w:lineRule="auto"/>
        <w:ind w:firstLine="964" w:firstLineChars="400"/>
        <w:textAlignment w:val="auto"/>
        <w:rPr>
          <w:rFonts w:hint="eastAsia" w:ascii="仿宋" w:hAnsi="仿宋" w:eastAsia="仿宋" w:cs="仿宋"/>
          <w:b w:val="0"/>
          <w:bCs/>
          <w:color w:val="auto"/>
          <w:sz w:val="24"/>
          <w:szCs w:val="24"/>
          <w:highlight w:val="none"/>
        </w:rPr>
      </w:pPr>
      <w:r>
        <w:rPr>
          <w:rFonts w:hint="eastAsia" w:ascii="仿宋" w:hAnsi="仿宋" w:eastAsia="仿宋" w:cs="仿宋"/>
          <w:b/>
          <w:color w:val="auto"/>
          <w:sz w:val="24"/>
          <w:szCs w:val="24"/>
          <w:highlight w:val="none"/>
        </w:rPr>
        <w:t xml:space="preserve"> </w:t>
      </w:r>
      <w:r>
        <w:rPr>
          <w:rFonts w:hint="eastAsia" w:ascii="仿宋" w:hAnsi="仿宋" w:eastAsia="仿宋" w:cs="仿宋"/>
          <w:b w:val="0"/>
          <w:bCs/>
          <w:color w:val="auto"/>
          <w:sz w:val="24"/>
          <w:szCs w:val="24"/>
          <w:highlight w:val="none"/>
        </w:rPr>
        <w:t>地址： 自贡市富顺县东湖大道1801号</w:t>
      </w:r>
    </w:p>
    <w:p>
      <w:pPr>
        <w:pStyle w:val="87"/>
        <w:keepNext w:val="0"/>
        <w:keepLines w:val="0"/>
        <w:pageBreakBefore w:val="0"/>
        <w:kinsoku/>
        <w:wordWrap/>
        <w:overflowPunct/>
        <w:topLinePunct w:val="0"/>
        <w:autoSpaceDE/>
        <w:autoSpaceDN/>
        <w:bidi w:val="0"/>
        <w:adjustRightInd/>
        <w:snapToGrid/>
        <w:spacing w:line="360" w:lineRule="auto"/>
        <w:ind w:firstLine="960" w:firstLineChars="40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 xml:space="preserve"> 联系人： 聂老师</w:t>
      </w:r>
    </w:p>
    <w:p>
      <w:pPr>
        <w:pStyle w:val="87"/>
        <w:keepNext w:val="0"/>
        <w:keepLines w:val="0"/>
        <w:pageBreakBefore w:val="0"/>
        <w:kinsoku/>
        <w:wordWrap/>
        <w:overflowPunct/>
        <w:topLinePunct w:val="0"/>
        <w:autoSpaceDE/>
        <w:autoSpaceDN/>
        <w:bidi w:val="0"/>
        <w:adjustRightInd/>
        <w:snapToGrid/>
        <w:spacing w:line="360" w:lineRule="auto"/>
        <w:ind w:firstLine="960" w:firstLineChars="40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 xml:space="preserve"> 联系电话： 0813-5197655</w:t>
      </w:r>
    </w:p>
    <w:p>
      <w:pPr>
        <w:pStyle w:val="87"/>
        <w:keepNext w:val="0"/>
        <w:keepLines w:val="0"/>
        <w:pageBreakBefore w:val="0"/>
        <w:kinsoku/>
        <w:wordWrap/>
        <w:overflowPunct/>
        <w:topLinePunct w:val="0"/>
        <w:autoSpaceDE/>
        <w:autoSpaceDN/>
        <w:bidi w:val="0"/>
        <w:adjustRightInd/>
        <w:snapToGrid/>
        <w:spacing w:line="360" w:lineRule="auto"/>
        <w:ind w:firstLine="964" w:firstLineChars="400"/>
        <w:textAlignment w:val="auto"/>
        <w:rPr>
          <w:rFonts w:ascii="仿宋" w:hAnsi="仿宋" w:eastAsia="仿宋" w:cs="仿宋"/>
          <w:b/>
          <w:color w:val="auto"/>
          <w:sz w:val="24"/>
          <w:szCs w:val="24"/>
        </w:rPr>
      </w:pPr>
      <w:r>
        <w:rPr>
          <w:rFonts w:hint="eastAsia" w:ascii="仿宋" w:hAnsi="仿宋" w:eastAsia="仿宋" w:cs="仿宋"/>
          <w:b/>
          <w:color w:val="auto"/>
          <w:sz w:val="24"/>
          <w:szCs w:val="24"/>
          <w:highlight w:val="none"/>
        </w:rPr>
        <w:t>采购代理机构：四川久润招投标代理有限公</w:t>
      </w:r>
      <w:r>
        <w:rPr>
          <w:rFonts w:hint="eastAsia" w:ascii="仿宋" w:hAnsi="仿宋" w:eastAsia="仿宋" w:cs="仿宋"/>
          <w:b/>
          <w:color w:val="auto"/>
          <w:sz w:val="24"/>
          <w:szCs w:val="24"/>
        </w:rPr>
        <w:t>司</w:t>
      </w:r>
    </w:p>
    <w:p>
      <w:pPr>
        <w:pStyle w:val="23"/>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ascii="仿宋" w:hAnsi="仿宋" w:eastAsia="仿宋" w:cs="仿宋"/>
          <w:color w:val="auto"/>
        </w:rPr>
      </w:pPr>
      <w:r>
        <w:rPr>
          <w:rFonts w:hint="eastAsia" w:ascii="仿宋" w:hAnsi="仿宋" w:eastAsia="仿宋" w:cs="仿宋"/>
          <w:color w:val="auto"/>
        </w:rPr>
        <w:t>地</w:t>
      </w:r>
      <w:r>
        <w:rPr>
          <w:rFonts w:hint="eastAsia" w:ascii="仿宋" w:hAnsi="仿宋" w:eastAsia="仿宋" w:cs="仿宋"/>
          <w:color w:val="auto"/>
          <w:lang w:val="en-US" w:eastAsia="zh-CN"/>
        </w:rPr>
        <w:t xml:space="preserve">  </w:t>
      </w:r>
      <w:r>
        <w:rPr>
          <w:rFonts w:hint="eastAsia" w:ascii="仿宋" w:hAnsi="仿宋" w:eastAsia="仿宋" w:cs="仿宋"/>
          <w:color w:val="auto"/>
        </w:rPr>
        <w:t xml:space="preserve">  址：</w:t>
      </w:r>
      <w:r>
        <w:rPr>
          <w:rFonts w:hint="eastAsia" w:ascii="仿宋" w:hAnsi="仿宋" w:eastAsia="仿宋" w:cs="仿宋"/>
          <w:color w:val="auto"/>
          <w:lang w:val="zh-CN"/>
        </w:rPr>
        <w:t>自贡市自流井区汇东丹桂大街蓝鹰海岸综合楼二楼</w:t>
      </w:r>
    </w:p>
    <w:p>
      <w:pPr>
        <w:pStyle w:val="23"/>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hint="eastAsia" w:ascii="仿宋" w:hAnsi="仿宋" w:eastAsia="仿宋" w:cs="仿宋"/>
          <w:color w:val="auto"/>
          <w:lang w:eastAsia="zh-CN"/>
        </w:rPr>
      </w:pPr>
      <w:r>
        <w:rPr>
          <w:rFonts w:hint="eastAsia" w:ascii="仿宋" w:hAnsi="仿宋" w:eastAsia="仿宋" w:cs="仿宋"/>
          <w:color w:val="auto"/>
        </w:rPr>
        <w:t>联</w:t>
      </w:r>
      <w:r>
        <w:rPr>
          <w:rFonts w:hint="eastAsia" w:ascii="仿宋" w:hAnsi="仿宋" w:eastAsia="仿宋" w:cs="仿宋"/>
          <w:color w:val="auto"/>
          <w:lang w:val="en-US" w:eastAsia="zh-CN"/>
        </w:rPr>
        <w:t xml:space="preserve"> </w:t>
      </w:r>
      <w:r>
        <w:rPr>
          <w:rFonts w:hint="eastAsia" w:ascii="仿宋" w:hAnsi="仿宋" w:eastAsia="仿宋" w:cs="仿宋"/>
          <w:color w:val="auto"/>
        </w:rPr>
        <w:t>系</w:t>
      </w:r>
      <w:r>
        <w:rPr>
          <w:rFonts w:hint="eastAsia" w:ascii="仿宋" w:hAnsi="仿宋" w:eastAsia="仿宋" w:cs="仿宋"/>
          <w:color w:val="auto"/>
          <w:lang w:val="en-US" w:eastAsia="zh-CN"/>
        </w:rPr>
        <w:t xml:space="preserve"> </w:t>
      </w:r>
      <w:r>
        <w:rPr>
          <w:rFonts w:hint="eastAsia" w:ascii="仿宋" w:hAnsi="仿宋" w:eastAsia="仿宋" w:cs="仿宋"/>
          <w:color w:val="auto"/>
        </w:rPr>
        <w:t>人：</w:t>
      </w:r>
      <w:r>
        <w:rPr>
          <w:rFonts w:hint="eastAsia" w:ascii="仿宋" w:hAnsi="仿宋" w:eastAsia="仿宋" w:cs="仿宋"/>
          <w:color w:val="auto"/>
          <w:lang w:eastAsia="zh-CN"/>
        </w:rPr>
        <w:t>杨女士</w:t>
      </w:r>
    </w:p>
    <w:p>
      <w:pPr>
        <w:pStyle w:val="23"/>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ascii="仿宋" w:hAnsi="仿宋" w:eastAsia="仿宋" w:cs="仿宋"/>
          <w:color w:val="auto"/>
        </w:rPr>
      </w:pPr>
      <w:r>
        <w:rPr>
          <w:rFonts w:hint="eastAsia" w:ascii="仿宋" w:hAnsi="仿宋" w:eastAsia="仿宋" w:cs="仿宋"/>
          <w:color w:val="auto"/>
        </w:rPr>
        <w:t xml:space="preserve">电  </w:t>
      </w:r>
      <w:r>
        <w:rPr>
          <w:rFonts w:hint="eastAsia" w:ascii="仿宋" w:hAnsi="仿宋" w:eastAsia="仿宋" w:cs="仿宋"/>
          <w:color w:val="auto"/>
          <w:lang w:val="en-US" w:eastAsia="zh-CN"/>
        </w:rPr>
        <w:t xml:space="preserve">  </w:t>
      </w:r>
      <w:r>
        <w:rPr>
          <w:rFonts w:hint="eastAsia" w:ascii="仿宋" w:hAnsi="仿宋" w:eastAsia="仿宋" w:cs="仿宋"/>
          <w:color w:val="auto"/>
        </w:rPr>
        <w:t>话：</w:t>
      </w:r>
      <w:r>
        <w:rPr>
          <w:rFonts w:hint="eastAsia" w:ascii="仿宋" w:hAnsi="仿宋" w:eastAsia="仿宋" w:cs="仿宋"/>
          <w:color w:val="auto"/>
          <w:lang w:val="zh-CN"/>
        </w:rPr>
        <w:t>0813-8108222</w:t>
      </w:r>
    </w:p>
    <w:p>
      <w:pPr>
        <w:pStyle w:val="23"/>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hint="eastAsia" w:ascii="仿宋" w:hAnsi="仿宋" w:eastAsia="仿宋" w:cs="仿宋"/>
          <w:color w:val="auto"/>
        </w:rPr>
      </w:pPr>
      <w:r>
        <w:rPr>
          <w:rFonts w:hint="eastAsia" w:ascii="仿宋" w:hAnsi="仿宋" w:eastAsia="仿宋" w:cs="仿宋"/>
          <w:color w:val="auto"/>
        </w:rPr>
        <w:t>电子邮件：jrzb8222@126.com</w:t>
      </w:r>
    </w:p>
    <w:bookmarkEnd w:id="9"/>
    <w:bookmarkEnd w:id="10"/>
    <w:bookmarkEnd w:id="11"/>
    <w:p>
      <w:pPr>
        <w:pStyle w:val="87"/>
        <w:spacing w:line="360" w:lineRule="auto"/>
        <w:ind w:firstLine="480" w:firstLineChars="0"/>
        <w:outlineLvl w:val="9"/>
        <w:rPr>
          <w:rFonts w:hint="eastAsia" w:ascii="仿宋" w:hAnsi="仿宋" w:eastAsia="仿宋"/>
          <w:b/>
          <w:color w:val="auto"/>
          <w:sz w:val="24"/>
          <w:szCs w:val="24"/>
          <w:lang w:eastAsia="zh-CN"/>
        </w:rPr>
      </w:pPr>
      <w:bookmarkStart w:id="12" w:name="_Toc12394"/>
      <w:bookmarkStart w:id="13" w:name="_Toc24228"/>
      <w:bookmarkStart w:id="14" w:name="_Toc14619"/>
      <w:bookmarkStart w:id="15" w:name="_Toc32543"/>
    </w:p>
    <w:p>
      <w:pPr>
        <w:pStyle w:val="23"/>
        <w:keepNext w:val="0"/>
        <w:keepLines w:val="0"/>
        <w:pageBreakBefore w:val="0"/>
        <w:kinsoku/>
        <w:wordWrap/>
        <w:overflowPunct/>
        <w:topLinePunct w:val="0"/>
        <w:autoSpaceDE/>
        <w:autoSpaceDN/>
        <w:bidi w:val="0"/>
        <w:adjustRightInd/>
        <w:snapToGrid/>
        <w:spacing w:before="0" w:after="0" w:line="360" w:lineRule="auto"/>
        <w:ind w:firstLine="480" w:firstLineChars="200"/>
        <w:jc w:val="both"/>
        <w:textAlignment w:val="auto"/>
        <w:rPr>
          <w:rFonts w:hint="eastAsia" w:ascii="仿宋" w:hAnsi="仿宋" w:eastAsia="仿宋" w:cs="仿宋"/>
          <w:color w:val="auto"/>
        </w:rPr>
        <w:sectPr>
          <w:footerReference r:id="rId9" w:type="default"/>
          <w:pgSz w:w="11850" w:h="16783"/>
          <w:pgMar w:top="1440" w:right="1531" w:bottom="1440" w:left="1644" w:header="851" w:footer="992" w:gutter="0"/>
          <w:pgBorders>
            <w:top w:val="none" w:sz="0" w:space="0"/>
            <w:left w:val="none" w:sz="0" w:space="0"/>
            <w:bottom w:val="none" w:sz="0" w:space="0"/>
            <w:right w:val="none" w:sz="0" w:space="0"/>
          </w:pgBorders>
          <w:pgNumType w:fmt="decimal" w:start="1"/>
          <w:cols w:space="720" w:num="1"/>
          <w:docGrid w:linePitch="312" w:charSpace="0"/>
        </w:sectPr>
      </w:pPr>
    </w:p>
    <w:p>
      <w:pPr>
        <w:keepNext w:val="0"/>
        <w:keepLines w:val="0"/>
        <w:pageBreakBefore w:val="0"/>
        <w:widowControl w:val="0"/>
        <w:kinsoku/>
        <w:wordWrap/>
        <w:overflowPunct/>
        <w:topLinePunct w:val="0"/>
        <w:autoSpaceDE/>
        <w:autoSpaceDN/>
        <w:bidi w:val="0"/>
        <w:adjustRightInd/>
        <w:snapToGrid/>
        <w:spacing w:before="157" w:beforeLines="50" w:after="313" w:afterLines="100"/>
        <w:ind w:left="0" w:leftChars="0" w:firstLine="0" w:firstLineChars="0"/>
        <w:jc w:val="center"/>
        <w:textAlignment w:val="auto"/>
        <w:outlineLvl w:val="0"/>
        <w:rPr>
          <w:color w:val="auto"/>
        </w:rPr>
      </w:pPr>
      <w:bookmarkStart w:id="16" w:name="_Toc2195"/>
      <w:bookmarkStart w:id="17" w:name="_Toc29609"/>
      <w:r>
        <w:rPr>
          <w:rFonts w:hint="eastAsia" w:ascii="仿宋" w:hAnsi="仿宋" w:eastAsia="仿宋" w:cs="仿宋"/>
          <w:b/>
          <w:bCs/>
          <w:color w:val="auto"/>
          <w:spacing w:val="-2"/>
          <w:sz w:val="36"/>
          <w:szCs w:val="36"/>
        </w:rPr>
        <w:t>第二章</w:t>
      </w:r>
      <w:r>
        <w:rPr>
          <w:rFonts w:hint="eastAsia" w:ascii="仿宋" w:hAnsi="仿宋" w:eastAsia="仿宋" w:cs="仿宋"/>
          <w:b/>
          <w:bCs/>
          <w:color w:val="auto"/>
          <w:spacing w:val="-2"/>
          <w:sz w:val="36"/>
          <w:szCs w:val="36"/>
          <w:lang w:val="en-US" w:eastAsia="zh-CN"/>
        </w:rPr>
        <w:t xml:space="preserve"> </w:t>
      </w:r>
      <w:r>
        <w:rPr>
          <w:rFonts w:hint="eastAsia" w:ascii="仿宋" w:hAnsi="仿宋" w:eastAsia="仿宋" w:cs="仿宋"/>
          <w:b/>
          <w:bCs/>
          <w:color w:val="auto"/>
          <w:spacing w:val="-2"/>
          <w:sz w:val="36"/>
          <w:szCs w:val="36"/>
        </w:rPr>
        <w:t>供应商谈判须知</w:t>
      </w:r>
      <w:bookmarkEnd w:id="12"/>
      <w:bookmarkEnd w:id="13"/>
      <w:bookmarkEnd w:id="14"/>
      <w:bookmarkEnd w:id="15"/>
      <w:bookmarkEnd w:id="16"/>
      <w:bookmarkEnd w:id="17"/>
    </w:p>
    <w:p>
      <w:pPr>
        <w:numPr>
          <w:ilvl w:val="0"/>
          <w:numId w:val="2"/>
        </w:numPr>
        <w:spacing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供应商须知前附表</w:t>
      </w:r>
    </w:p>
    <w:tbl>
      <w:tblPr>
        <w:tblStyle w:val="26"/>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2093"/>
        <w:gridCol w:w="6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exact"/>
          <w:tblHeader/>
          <w:jc w:val="center"/>
        </w:trPr>
        <w:tc>
          <w:tcPr>
            <w:tcW w:w="656" w:type="dxa"/>
            <w:vAlign w:val="center"/>
          </w:tcPr>
          <w:p>
            <w:pPr>
              <w:pStyle w:val="82"/>
              <w:spacing w:before="0" w:beforeLines="0" w:after="0" w:afterLines="0"/>
              <w:jc w:val="center"/>
              <w:rPr>
                <w:rFonts w:hint="eastAsia" w:ascii="仿宋" w:hAnsi="仿宋" w:eastAsia="仿宋" w:cs="仿宋"/>
                <w:b w:val="0"/>
                <w:bCs/>
                <w:color w:val="auto"/>
                <w:kern w:val="2"/>
                <w:sz w:val="24"/>
                <w:szCs w:val="24"/>
                <w:lang w:val="zh-CN"/>
              </w:rPr>
            </w:pPr>
            <w:r>
              <w:rPr>
                <w:rFonts w:hint="eastAsia" w:ascii="仿宋" w:hAnsi="仿宋" w:eastAsia="仿宋" w:cs="仿宋"/>
                <w:b/>
                <w:color w:val="auto"/>
                <w:kern w:val="2"/>
                <w:sz w:val="24"/>
                <w:szCs w:val="24"/>
                <w:lang w:val="zh-CN"/>
              </w:rPr>
              <w:t>序号</w:t>
            </w:r>
          </w:p>
        </w:tc>
        <w:tc>
          <w:tcPr>
            <w:tcW w:w="2093" w:type="dxa"/>
            <w:vAlign w:val="center"/>
          </w:tcPr>
          <w:p>
            <w:pPr>
              <w:pStyle w:val="82"/>
              <w:spacing w:before="0" w:beforeLines="0" w:after="0" w:afterLines="0"/>
              <w:ind w:left="0"/>
              <w:jc w:val="center"/>
              <w:rPr>
                <w:rFonts w:hint="eastAsia" w:ascii="仿宋" w:hAnsi="仿宋" w:eastAsia="仿宋" w:cs="仿宋"/>
                <w:b/>
                <w:color w:val="auto"/>
                <w:kern w:val="2"/>
                <w:sz w:val="24"/>
                <w:szCs w:val="24"/>
                <w:lang w:val="zh-CN"/>
              </w:rPr>
            </w:pPr>
            <w:r>
              <w:rPr>
                <w:rFonts w:hint="eastAsia" w:ascii="仿宋" w:hAnsi="仿宋" w:eastAsia="仿宋" w:cs="仿宋"/>
                <w:b/>
                <w:color w:val="auto"/>
                <w:kern w:val="2"/>
                <w:sz w:val="24"/>
                <w:szCs w:val="24"/>
                <w:lang w:val="zh-CN"/>
              </w:rPr>
              <w:t>条款名称</w:t>
            </w:r>
          </w:p>
        </w:tc>
        <w:tc>
          <w:tcPr>
            <w:tcW w:w="6705" w:type="dxa"/>
            <w:vAlign w:val="center"/>
          </w:tcPr>
          <w:p>
            <w:pPr>
              <w:pStyle w:val="82"/>
              <w:spacing w:before="0" w:beforeLines="0" w:after="0" w:afterLines="0"/>
              <w:jc w:val="center"/>
              <w:rPr>
                <w:rFonts w:hint="eastAsia" w:ascii="仿宋" w:hAnsi="仿宋" w:eastAsia="仿宋" w:cs="仿宋"/>
                <w:b/>
                <w:color w:val="auto"/>
                <w:kern w:val="2"/>
                <w:sz w:val="24"/>
                <w:szCs w:val="24"/>
                <w:lang w:val="zh-CN"/>
              </w:rPr>
            </w:pPr>
            <w:r>
              <w:rPr>
                <w:rFonts w:hint="eastAsia" w:ascii="仿宋" w:hAnsi="仿宋" w:eastAsia="仿宋" w:cs="仿宋"/>
                <w:b/>
                <w:color w:val="auto"/>
                <w:kern w:val="2"/>
                <w:sz w:val="24"/>
                <w:szCs w:val="24"/>
                <w:lang w:val="zh-CN"/>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656" w:type="dxa"/>
            <w:vAlign w:val="center"/>
          </w:tcPr>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w:t>
            </w:r>
          </w:p>
        </w:tc>
        <w:tc>
          <w:tcPr>
            <w:tcW w:w="2093" w:type="dxa"/>
            <w:vAlign w:val="center"/>
          </w:tcPr>
          <w:p>
            <w:pPr>
              <w:spacing w:before="0" w:beforeLines="0" w:after="63" w:afterLines="20" w:line="400" w:lineRule="exact"/>
              <w:ind w:left="42" w:leftChars="20" w:right="42" w:rightChars="20"/>
              <w:jc w:val="center"/>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确定邀请谈判的         供应商数量</w:t>
            </w:r>
            <w:r>
              <w:rPr>
                <w:rFonts w:hint="eastAsia" w:ascii="仿宋" w:hAnsi="仿宋" w:eastAsia="仿宋" w:cs="仿宋"/>
                <w:bCs/>
                <w:color w:val="auto"/>
                <w:sz w:val="24"/>
                <w:szCs w:val="24"/>
                <w:lang w:eastAsia="zh-CN"/>
              </w:rPr>
              <w:t>和方式</w:t>
            </w:r>
          </w:p>
        </w:tc>
        <w:tc>
          <w:tcPr>
            <w:tcW w:w="6705" w:type="dxa"/>
            <w:vAlign w:val="center"/>
          </w:tcPr>
          <w:p>
            <w:pPr>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rPr>
            </w:pPr>
            <w:r>
              <w:rPr>
                <w:rFonts w:hint="eastAsia" w:ascii="仿宋" w:hAnsi="仿宋" w:eastAsia="仿宋" w:cs="仿宋"/>
                <w:bCs/>
                <w:color w:val="auto"/>
                <w:sz w:val="24"/>
                <w:szCs w:val="24"/>
              </w:rPr>
              <w:t>本次项目邀请的供应商数量：3家及以上。</w:t>
            </w:r>
          </w:p>
          <w:p>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lang w:val="zh-CN"/>
              </w:rPr>
              <w:t>本次采购在</w:t>
            </w:r>
            <w:r>
              <w:rPr>
                <w:rFonts w:hint="eastAsia" w:ascii="仿宋" w:hAnsi="仿宋" w:eastAsia="仿宋" w:cs="仿宋"/>
                <w:color w:val="auto"/>
                <w:kern w:val="2"/>
                <w:sz w:val="24"/>
                <w:szCs w:val="24"/>
                <w:lang w:val="en-US" w:eastAsia="zh-CN"/>
              </w:rPr>
              <w:t>四川招投标网</w:t>
            </w:r>
            <w:r>
              <w:rPr>
                <w:rFonts w:hint="eastAsia" w:ascii="仿宋" w:hAnsi="仿宋" w:eastAsia="仿宋" w:cs="Times New Roman"/>
                <w:bCs w:val="0"/>
                <w:color w:val="auto"/>
                <w:spacing w:val="-2"/>
                <w:sz w:val="24"/>
                <w:highlight w:val="none"/>
                <w:shd w:val="clear" w:color="auto" w:fill="auto"/>
                <w:lang w:val="en-US" w:eastAsia="zh-CN"/>
              </w:rPr>
              <w:t>（www.scbid.com）</w:t>
            </w:r>
            <w:r>
              <w:rPr>
                <w:rFonts w:hint="eastAsia" w:ascii="仿宋" w:hAnsi="仿宋" w:eastAsia="仿宋" w:cs="仿宋"/>
                <w:bCs/>
                <w:color w:val="auto"/>
                <w:sz w:val="24"/>
                <w:szCs w:val="24"/>
                <w:lang w:val="zh-CN"/>
              </w:rPr>
              <w:t>上以公告形式发布。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656" w:type="dxa"/>
            <w:vAlign w:val="center"/>
          </w:tcPr>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2</w:t>
            </w:r>
          </w:p>
        </w:tc>
        <w:tc>
          <w:tcPr>
            <w:tcW w:w="2093" w:type="dxa"/>
            <w:vAlign w:val="center"/>
          </w:tcPr>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采购预算</w:t>
            </w:r>
          </w:p>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
                <w:bCs/>
                <w:color w:val="auto"/>
                <w:sz w:val="24"/>
                <w:szCs w:val="24"/>
                <w:lang w:val="zh-CN"/>
              </w:rPr>
              <w:t>（实质性要求）</w:t>
            </w:r>
          </w:p>
        </w:tc>
        <w:tc>
          <w:tcPr>
            <w:tcW w:w="6705" w:type="dxa"/>
            <w:vAlign w:val="center"/>
          </w:tcPr>
          <w:p>
            <w:pPr>
              <w:spacing w:before="0" w:beforeLines="0" w:after="63" w:afterLines="20" w:line="400" w:lineRule="exact"/>
              <w:ind w:left="42" w:leftChars="20" w:right="42" w:rightChars="20" w:firstLine="240" w:firstLineChars="100"/>
              <w:outlineLvl w:val="1"/>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lang w:eastAsia="zh-CN"/>
              </w:rPr>
              <w:t>预算</w:t>
            </w:r>
            <w:r>
              <w:rPr>
                <w:rFonts w:hint="eastAsia" w:ascii="仿宋" w:hAnsi="仿宋" w:eastAsia="仿宋" w:cs="仿宋"/>
                <w:bCs/>
                <w:color w:val="auto"/>
                <w:sz w:val="24"/>
                <w:szCs w:val="24"/>
              </w:rPr>
              <w:t>金额：</w:t>
            </w:r>
            <w:r>
              <w:rPr>
                <w:rFonts w:hint="eastAsia" w:ascii="仿宋" w:hAnsi="仿宋" w:eastAsia="仿宋" w:cs="仿宋"/>
                <w:bCs/>
                <w:color w:val="auto"/>
                <w:spacing w:val="-2"/>
                <w:sz w:val="24"/>
                <w:lang w:val="en-US" w:eastAsia="zh-CN"/>
              </w:rPr>
              <w:t>220900.00</w:t>
            </w:r>
            <w:r>
              <w:rPr>
                <w:rFonts w:hint="eastAsia" w:ascii="仿宋" w:hAnsi="仿宋" w:eastAsia="仿宋" w:cs="仿宋"/>
                <w:bCs/>
                <w:color w:val="auto"/>
                <w:sz w:val="24"/>
                <w:szCs w:val="24"/>
                <w:lang w:val="en-US" w:eastAsia="zh-CN"/>
              </w:rPr>
              <w:t>元</w:t>
            </w:r>
            <w:r>
              <w:rPr>
                <w:rFonts w:hint="eastAsia" w:ascii="仿宋" w:hAnsi="仿宋" w:eastAsia="仿宋" w:cs="仿宋"/>
                <w:bCs/>
                <w:color w:val="auto"/>
                <w:sz w:val="24"/>
                <w:szCs w:val="24"/>
                <w:lang w:eastAsia="zh-CN"/>
              </w:rPr>
              <w:t>；</w:t>
            </w:r>
          </w:p>
          <w:p>
            <w:pPr>
              <w:spacing w:before="0" w:beforeLines="0" w:after="63" w:afterLines="20" w:line="400" w:lineRule="exact"/>
              <w:ind w:left="42" w:leftChars="20" w:right="42" w:rightChars="20" w:firstLine="240" w:firstLineChars="100"/>
              <w:outlineLvl w:val="1"/>
              <w:rPr>
                <w:rFonts w:ascii="仿宋" w:hAnsi="仿宋" w:eastAsia="仿宋" w:cs="仿宋"/>
                <w:bCs/>
                <w:color w:val="auto"/>
                <w:sz w:val="24"/>
                <w:szCs w:val="24"/>
              </w:rPr>
            </w:pPr>
            <w:r>
              <w:rPr>
                <w:rFonts w:hint="eastAsia" w:ascii="仿宋" w:hAnsi="仿宋" w:eastAsia="仿宋" w:cs="仿宋"/>
                <w:bCs/>
                <w:color w:val="auto"/>
                <w:sz w:val="24"/>
                <w:szCs w:val="24"/>
                <w:lang w:val="zh-CN" w:eastAsia="zh-CN"/>
              </w:rPr>
              <w:t>供应商报价超过采购预算金额的，视为无效响应。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jc w:val="center"/>
        </w:trPr>
        <w:tc>
          <w:tcPr>
            <w:tcW w:w="656" w:type="dxa"/>
            <w:vAlign w:val="center"/>
          </w:tcPr>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3</w:t>
            </w:r>
          </w:p>
        </w:tc>
        <w:tc>
          <w:tcPr>
            <w:tcW w:w="2093" w:type="dxa"/>
            <w:vAlign w:val="center"/>
          </w:tcPr>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最高限价</w:t>
            </w:r>
          </w:p>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
                <w:bCs/>
                <w:color w:val="auto"/>
                <w:sz w:val="24"/>
                <w:szCs w:val="24"/>
                <w:lang w:val="zh-CN"/>
              </w:rPr>
              <w:t>（实质性要求）</w:t>
            </w:r>
          </w:p>
        </w:tc>
        <w:tc>
          <w:tcPr>
            <w:tcW w:w="6705" w:type="dxa"/>
            <w:vAlign w:val="center"/>
          </w:tcPr>
          <w:p>
            <w:pPr>
              <w:pStyle w:val="12"/>
              <w:spacing w:before="0" w:beforeLines="0" w:after="63" w:afterLines="20" w:line="400" w:lineRule="exact"/>
              <w:ind w:left="42" w:leftChars="20" w:right="42" w:rightChars="20" w:firstLine="240" w:firstLineChars="100"/>
              <w:rPr>
                <w:rFonts w:ascii="仿宋" w:hAnsi="仿宋" w:eastAsia="仿宋" w:cs="仿宋"/>
                <w:color w:val="auto"/>
                <w:sz w:val="21"/>
                <w:szCs w:val="24"/>
              </w:rPr>
            </w:pPr>
            <w:r>
              <w:rPr>
                <w:rFonts w:hint="eastAsia" w:ascii="仿宋" w:hAnsi="仿宋" w:eastAsia="仿宋" w:cs="仿宋"/>
                <w:color w:val="000000" w:themeColor="text1"/>
                <w:kern w:val="2"/>
                <w:sz w:val="24"/>
                <w:szCs w:val="24"/>
                <w:highlight w:val="none"/>
                <w:lang w:val="zh-CN" w:eastAsia="zh-CN"/>
                <w14:textFill>
                  <w14:solidFill>
                    <w14:schemeClr w14:val="tx1"/>
                  </w14:solidFill>
                </w14:textFill>
              </w:rPr>
              <w:t>本项目采用下浮比例方式报价。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0" w:hRule="atLeast"/>
          <w:jc w:val="center"/>
        </w:trPr>
        <w:tc>
          <w:tcPr>
            <w:tcW w:w="656" w:type="dxa"/>
            <w:vAlign w:val="center"/>
          </w:tcPr>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4</w:t>
            </w:r>
          </w:p>
        </w:tc>
        <w:tc>
          <w:tcPr>
            <w:tcW w:w="2093" w:type="dxa"/>
            <w:vAlign w:val="center"/>
          </w:tcPr>
          <w:p>
            <w:pPr>
              <w:autoSpaceDE w:val="0"/>
              <w:autoSpaceDN w:val="0"/>
              <w:adjustRightInd w:val="0"/>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低于成本价不正</w:t>
            </w:r>
          </w:p>
          <w:p>
            <w:pPr>
              <w:pStyle w:val="82"/>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rPr>
            </w:pPr>
            <w:r>
              <w:rPr>
                <w:rFonts w:hint="eastAsia" w:ascii="仿宋" w:hAnsi="仿宋" w:eastAsia="仿宋" w:cs="仿宋"/>
                <w:bCs/>
                <w:color w:val="auto"/>
                <w:kern w:val="2"/>
                <w:sz w:val="24"/>
                <w:szCs w:val="24"/>
              </w:rPr>
              <w:t>当竞争预防措施</w:t>
            </w:r>
          </w:p>
          <w:p>
            <w:pPr>
              <w:pStyle w:val="82"/>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rPr>
            </w:pPr>
            <w:r>
              <w:rPr>
                <w:rFonts w:hint="eastAsia" w:ascii="仿宋" w:eastAsia="仿宋" w:cs="仿宋"/>
                <w:b/>
                <w:color w:val="auto"/>
                <w:kern w:val="2"/>
                <w:sz w:val="24"/>
                <w:szCs w:val="24"/>
                <w:lang w:val="zh-CN"/>
              </w:rPr>
              <w:t>（实质性要求）</w:t>
            </w:r>
          </w:p>
        </w:tc>
        <w:tc>
          <w:tcPr>
            <w:tcW w:w="6705" w:type="dxa"/>
            <w:vAlign w:val="center"/>
          </w:tcPr>
          <w:p>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32"/>
              </w:rPr>
              <w:t>一、在评审过程中，评审委员会认为供应商的报价明显低于其他进入报价的供应商的报价，有可能影响产品质量或者不能诚信履约的，应当要求其在评审现场合理的时间内提供书面说明，必要时提交相关证明材料；供应商不能证明其报价合理性的，评审委员会应当将其作为无效响应处理。</w:t>
            </w:r>
            <w:r>
              <w:rPr>
                <w:rFonts w:hint="eastAsia" w:ascii="仿宋" w:hAnsi="仿宋" w:eastAsia="仿宋" w:cs="仿宋"/>
                <w:bCs/>
                <w:color w:val="auto"/>
                <w:sz w:val="24"/>
                <w:szCs w:val="32"/>
              </w:rPr>
              <w:br w:type="textWrapping"/>
            </w:r>
            <w:r>
              <w:rPr>
                <w:rFonts w:hint="eastAsia" w:ascii="仿宋" w:hAnsi="仿宋" w:eastAsia="仿宋" w:cs="仿宋"/>
                <w:bCs/>
                <w:color w:val="auto"/>
                <w:sz w:val="24"/>
                <w:szCs w:val="32"/>
              </w:rPr>
              <w:t>供应商的书面说明材料应当按照国家财务会计制度的规定要求，逐项就供应商提供的货物、服务和工程的主营业务成本、税金及附加、销售费用、管理费用、财务费用等成本构成事项详细陈述。</w:t>
            </w:r>
            <w:r>
              <w:rPr>
                <w:rFonts w:hint="eastAsia" w:ascii="仿宋" w:hAnsi="仿宋" w:eastAsia="仿宋" w:cs="仿宋"/>
                <w:bCs/>
                <w:color w:val="auto"/>
                <w:sz w:val="24"/>
                <w:szCs w:val="32"/>
              </w:rPr>
              <w:br w:type="textWrapping"/>
            </w:r>
            <w:r>
              <w:rPr>
                <w:rFonts w:hint="eastAsia" w:ascii="仿宋" w:hAnsi="仿宋" w:eastAsia="仿宋" w:cs="仿宋"/>
                <w:bCs/>
                <w:color w:val="auto"/>
                <w:sz w:val="24"/>
                <w:szCs w:val="32"/>
                <w:lang w:val="en-US" w:eastAsia="zh-CN"/>
              </w:rPr>
              <w:t xml:space="preserve">  </w:t>
            </w:r>
            <w:r>
              <w:rPr>
                <w:rFonts w:hint="eastAsia" w:ascii="仿宋" w:hAnsi="仿宋" w:eastAsia="仿宋" w:cs="仿宋"/>
                <w:bCs/>
                <w:color w:val="auto"/>
                <w:sz w:val="24"/>
                <w:szCs w:val="32"/>
              </w:rPr>
              <w:t>二、供应商书面说明应当签字确认或者加盖公章，否则无效。书面说明的签字确认，供应商为法人的，由其法定代表人或者授权代表签字确认</w:t>
            </w:r>
            <w:r>
              <w:rPr>
                <w:rFonts w:hint="eastAsia" w:ascii="仿宋" w:hAnsi="仿宋" w:eastAsia="仿宋" w:cs="仿宋"/>
                <w:bCs/>
                <w:color w:val="auto"/>
                <w:sz w:val="24"/>
                <w:szCs w:val="32"/>
                <w:lang w:eastAsia="zh-CN"/>
              </w:rPr>
              <w:t>；</w:t>
            </w:r>
            <w:r>
              <w:rPr>
                <w:rFonts w:hint="eastAsia" w:ascii="仿宋" w:hAnsi="仿宋" w:eastAsia="仿宋" w:cs="仿宋"/>
                <w:bCs/>
                <w:color w:val="auto"/>
                <w:sz w:val="24"/>
                <w:szCs w:val="32"/>
              </w:rPr>
              <w:t>供应商为其他组织的，由其主要负责人或者授权代表签字确认</w:t>
            </w:r>
            <w:r>
              <w:rPr>
                <w:rFonts w:hint="eastAsia" w:ascii="仿宋" w:hAnsi="仿宋" w:eastAsia="仿宋" w:cs="仿宋"/>
                <w:bCs/>
                <w:color w:val="auto"/>
                <w:sz w:val="24"/>
                <w:szCs w:val="32"/>
                <w:lang w:eastAsia="zh-CN"/>
              </w:rPr>
              <w:t>；</w:t>
            </w:r>
            <w:r>
              <w:rPr>
                <w:rFonts w:hint="eastAsia" w:ascii="仿宋" w:hAnsi="仿宋" w:eastAsia="仿宋" w:cs="仿宋"/>
                <w:bCs/>
                <w:color w:val="auto"/>
                <w:sz w:val="24"/>
                <w:szCs w:val="32"/>
              </w:rPr>
              <w:t>供应商为自然人的，由其本人或者授权代表签字确认。</w:t>
            </w:r>
            <w:r>
              <w:rPr>
                <w:rFonts w:hint="eastAsia" w:ascii="仿宋" w:hAnsi="仿宋" w:eastAsia="仿宋" w:cs="仿宋"/>
                <w:bCs/>
                <w:color w:val="auto"/>
                <w:sz w:val="24"/>
                <w:szCs w:val="32"/>
              </w:rPr>
              <w:br w:type="textWrapping"/>
            </w:r>
            <w:r>
              <w:rPr>
                <w:rFonts w:hint="eastAsia" w:ascii="仿宋" w:hAnsi="仿宋" w:eastAsia="仿宋" w:cs="仿宋"/>
                <w:bCs/>
                <w:color w:val="auto"/>
                <w:sz w:val="24"/>
                <w:szCs w:val="32"/>
              </w:rPr>
              <w:t xml:space="preserve">  三、供应商提供书面说明后，评审委员会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的，评审委员会应当将其响应文件作为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656" w:type="dxa"/>
            <w:vAlign w:val="center"/>
          </w:tcPr>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5</w:t>
            </w:r>
          </w:p>
        </w:tc>
        <w:tc>
          <w:tcPr>
            <w:tcW w:w="2093" w:type="dxa"/>
            <w:vAlign w:val="center"/>
          </w:tcPr>
          <w:p>
            <w:pPr>
              <w:pStyle w:val="82"/>
              <w:spacing w:before="0" w:beforeLines="0" w:after="63" w:afterLines="20" w:line="400" w:lineRule="exact"/>
              <w:ind w:left="42" w:leftChars="20" w:right="42" w:rightChars="20"/>
              <w:jc w:val="center"/>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联合体</w:t>
            </w:r>
          </w:p>
          <w:p>
            <w:pPr>
              <w:pStyle w:val="82"/>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eastAsia="仿宋" w:cs="仿宋"/>
                <w:b/>
                <w:color w:val="auto"/>
                <w:kern w:val="2"/>
                <w:sz w:val="24"/>
                <w:szCs w:val="24"/>
                <w:lang w:val="zh-CN"/>
              </w:rPr>
              <w:t>（实质性要求）</w:t>
            </w:r>
          </w:p>
        </w:tc>
        <w:tc>
          <w:tcPr>
            <w:tcW w:w="6705" w:type="dxa"/>
            <w:vAlign w:val="center"/>
          </w:tcPr>
          <w:p>
            <w:pPr>
              <w:pStyle w:val="82"/>
              <w:spacing w:before="0" w:beforeLines="0" w:after="63" w:afterLines="20" w:line="400" w:lineRule="exact"/>
              <w:ind w:left="42" w:leftChars="20" w:right="42" w:rightChars="20" w:firstLine="240" w:firstLineChars="100"/>
              <w:jc w:val="both"/>
              <w:rPr>
                <w:rFonts w:ascii="仿宋" w:hAnsi="仿宋" w:eastAsia="仿宋" w:cs="仿宋"/>
                <w:color w:val="auto"/>
                <w:kern w:val="2"/>
                <w:sz w:val="24"/>
                <w:szCs w:val="24"/>
              </w:rPr>
            </w:pPr>
            <w:r>
              <w:rPr>
                <w:rFonts w:hint="eastAsia" w:ascii="仿宋" w:hAnsi="仿宋" w:eastAsia="仿宋" w:cs="仿宋"/>
                <w:color w:val="auto"/>
                <w:sz w:val="24"/>
                <w:szCs w:val="24"/>
              </w:rPr>
              <w:t>本项目不接受联合体参与。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656" w:type="dxa"/>
            <w:vAlign w:val="center"/>
          </w:tcPr>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6</w:t>
            </w:r>
          </w:p>
        </w:tc>
        <w:tc>
          <w:tcPr>
            <w:tcW w:w="2093" w:type="dxa"/>
            <w:vAlign w:val="center"/>
          </w:tcPr>
          <w:p>
            <w:pPr>
              <w:pStyle w:val="82"/>
              <w:spacing w:before="0" w:beforeLines="0" w:after="63" w:afterLines="20" w:line="400" w:lineRule="exact"/>
              <w:ind w:left="42" w:leftChars="20" w:right="42" w:rightChars="20"/>
              <w:jc w:val="center"/>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合同分包、转包</w:t>
            </w:r>
          </w:p>
          <w:p>
            <w:pPr>
              <w:pStyle w:val="82"/>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eastAsia="仿宋" w:cs="仿宋"/>
                <w:b/>
                <w:color w:val="auto"/>
                <w:kern w:val="2"/>
                <w:sz w:val="24"/>
                <w:szCs w:val="24"/>
                <w:lang w:val="zh-CN"/>
              </w:rPr>
              <w:t>（实质性要求）</w:t>
            </w:r>
          </w:p>
        </w:tc>
        <w:tc>
          <w:tcPr>
            <w:tcW w:w="6705" w:type="dxa"/>
            <w:vAlign w:val="center"/>
          </w:tcPr>
          <w:p>
            <w:pPr>
              <w:pStyle w:val="82"/>
              <w:spacing w:before="0" w:beforeLines="0" w:after="63" w:afterLines="20" w:line="400" w:lineRule="exact"/>
              <w:ind w:left="42" w:leftChars="20" w:right="42" w:rightChars="20" w:firstLine="240" w:firstLineChars="100"/>
              <w:rPr>
                <w:rFonts w:ascii="仿宋" w:hAnsi="仿宋" w:eastAsia="仿宋" w:cs="仿宋"/>
                <w:color w:val="auto"/>
                <w:kern w:val="2"/>
                <w:sz w:val="24"/>
                <w:szCs w:val="24"/>
              </w:rPr>
            </w:pPr>
            <w:r>
              <w:rPr>
                <w:rFonts w:hint="eastAsia" w:ascii="仿宋" w:hAnsi="仿宋" w:eastAsia="仿宋" w:cs="仿宋"/>
                <w:color w:val="auto"/>
                <w:sz w:val="24"/>
                <w:szCs w:val="24"/>
              </w:rPr>
              <w:t>采购人不允许成交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将本项目</w:t>
            </w:r>
            <w:r>
              <w:rPr>
                <w:rFonts w:hint="eastAsia" w:ascii="仿宋" w:hAnsi="仿宋" w:eastAsia="仿宋" w:cs="仿宋"/>
                <w:color w:val="auto"/>
                <w:sz w:val="24"/>
                <w:szCs w:val="24"/>
                <w:lang w:eastAsia="zh-CN"/>
              </w:rPr>
              <w:t>合同</w:t>
            </w:r>
            <w:r>
              <w:rPr>
                <w:rFonts w:hint="eastAsia" w:ascii="仿宋" w:hAnsi="仿宋" w:eastAsia="仿宋" w:cs="仿宋"/>
                <w:color w:val="auto"/>
                <w:kern w:val="2"/>
                <w:sz w:val="24"/>
                <w:szCs w:val="24"/>
                <w:lang w:val="zh-CN"/>
              </w:rPr>
              <w:t>分包、转包。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5" w:hRule="atLeast"/>
          <w:jc w:val="center"/>
        </w:trPr>
        <w:tc>
          <w:tcPr>
            <w:tcW w:w="656" w:type="dxa"/>
            <w:vAlign w:val="center"/>
          </w:tcPr>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7</w:t>
            </w:r>
          </w:p>
        </w:tc>
        <w:tc>
          <w:tcPr>
            <w:tcW w:w="2093" w:type="dxa"/>
            <w:vAlign w:val="center"/>
          </w:tcPr>
          <w:p>
            <w:pPr>
              <w:pStyle w:val="82"/>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rPr>
              <w:t>评审情况公告</w:t>
            </w:r>
          </w:p>
        </w:tc>
        <w:tc>
          <w:tcPr>
            <w:tcW w:w="6705" w:type="dxa"/>
            <w:vAlign w:val="center"/>
          </w:tcPr>
          <w:p>
            <w:pPr>
              <w:pStyle w:val="82"/>
              <w:overflowPunct/>
              <w:spacing w:before="0" w:beforeLines="0" w:after="63" w:afterLines="20" w:line="400" w:lineRule="exact"/>
              <w:ind w:left="42" w:leftChars="20" w:right="42" w:rightChars="20" w:firstLine="240" w:firstLineChars="100"/>
              <w:jc w:val="left"/>
              <w:rPr>
                <w:rFonts w:ascii="仿宋" w:hAnsi="仿宋" w:eastAsia="仿宋" w:cs="仿宋"/>
                <w:color w:val="auto"/>
                <w:kern w:val="2"/>
                <w:sz w:val="24"/>
                <w:szCs w:val="24"/>
              </w:rPr>
            </w:pPr>
            <w:r>
              <w:rPr>
                <w:rFonts w:hint="eastAsia" w:ascii="仿宋" w:hAnsi="仿宋" w:eastAsia="仿宋" w:cs="仿宋"/>
                <w:color w:val="auto"/>
                <w:kern w:val="2"/>
                <w:sz w:val="24"/>
                <w:szCs w:val="24"/>
              </w:rPr>
              <w:t>评审结果等将</w:t>
            </w:r>
            <w:r>
              <w:rPr>
                <w:rFonts w:hint="eastAsia" w:ascii="仿宋" w:hAnsi="仿宋" w:eastAsia="仿宋" w:cs="仿宋"/>
                <w:color w:val="auto"/>
                <w:kern w:val="2"/>
                <w:sz w:val="24"/>
                <w:szCs w:val="24"/>
                <w:lang w:eastAsia="zh-CN"/>
              </w:rPr>
              <w:t>在</w:t>
            </w:r>
            <w:r>
              <w:rPr>
                <w:rFonts w:hint="eastAsia" w:ascii="仿宋" w:hAnsi="仿宋" w:eastAsia="仿宋" w:cs="仿宋"/>
                <w:color w:val="auto"/>
                <w:kern w:val="2"/>
                <w:sz w:val="24"/>
                <w:szCs w:val="24"/>
                <w:lang w:val="en-US" w:eastAsia="zh-CN"/>
              </w:rPr>
              <w:t>四川招投标网（www.scbid.com）上进行公示</w:t>
            </w:r>
            <w:r>
              <w:rPr>
                <w:rFonts w:hint="eastAsia" w:ascii="仿宋" w:hAnsi="仿宋" w:eastAsia="仿宋" w:cs="仿宋"/>
                <w:color w:val="auto"/>
                <w:kern w:val="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656" w:type="dxa"/>
            <w:vAlign w:val="center"/>
          </w:tcPr>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8</w:t>
            </w:r>
          </w:p>
        </w:tc>
        <w:tc>
          <w:tcPr>
            <w:tcW w:w="2093" w:type="dxa"/>
            <w:vAlign w:val="center"/>
          </w:tcPr>
          <w:p>
            <w:pPr>
              <w:pStyle w:val="82"/>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lang w:val="zh-CN"/>
              </w:rPr>
              <w:t>谈判保证金</w:t>
            </w:r>
          </w:p>
        </w:tc>
        <w:tc>
          <w:tcPr>
            <w:tcW w:w="6705" w:type="dxa"/>
            <w:vAlign w:val="center"/>
          </w:tcPr>
          <w:p>
            <w:pPr>
              <w:pStyle w:val="82"/>
              <w:overflowPunct/>
              <w:spacing w:before="0" w:beforeLines="0" w:after="63" w:afterLines="20" w:line="400" w:lineRule="exact"/>
              <w:ind w:left="42" w:leftChars="20" w:right="42" w:rightChars="20" w:firstLine="240" w:firstLineChars="100"/>
              <w:rPr>
                <w:rFonts w:ascii="仿宋" w:hAnsi="仿宋" w:eastAsia="仿宋" w:cs="仿宋"/>
                <w:color w:val="auto"/>
                <w:kern w:val="2"/>
                <w:sz w:val="24"/>
                <w:szCs w:val="24"/>
              </w:rPr>
            </w:pPr>
            <w:r>
              <w:rPr>
                <w:rFonts w:hint="eastAsia" w:ascii="仿宋" w:hAnsi="仿宋" w:eastAsia="仿宋" w:cs="仿宋"/>
                <w:color w:val="auto"/>
                <w:kern w:val="2"/>
                <w:sz w:val="24"/>
                <w:szCs w:val="24"/>
              </w:rPr>
              <w:t>本项目不收取谈判保证金。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656" w:type="dxa"/>
            <w:vAlign w:val="center"/>
          </w:tcPr>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9</w:t>
            </w:r>
          </w:p>
        </w:tc>
        <w:tc>
          <w:tcPr>
            <w:tcW w:w="2093" w:type="dxa"/>
            <w:vAlign w:val="center"/>
          </w:tcPr>
          <w:p>
            <w:pPr>
              <w:pStyle w:val="82"/>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sz w:val="24"/>
                <w:szCs w:val="24"/>
                <w:highlight w:val="none"/>
                <w:shd w:val="clear" w:color="auto" w:fill="auto"/>
                <w:lang w:val="zh-CN"/>
              </w:rPr>
              <w:t>履约保证金</w:t>
            </w:r>
          </w:p>
        </w:tc>
        <w:tc>
          <w:tcPr>
            <w:tcW w:w="6705" w:type="dxa"/>
            <w:vAlign w:val="center"/>
          </w:tcPr>
          <w:p>
            <w:pPr>
              <w:pStyle w:val="82"/>
              <w:spacing w:before="0" w:beforeLines="0" w:after="63" w:afterLines="20" w:line="400" w:lineRule="exact"/>
              <w:ind w:left="42" w:leftChars="20" w:right="42" w:rightChars="20" w:firstLine="240" w:firstLineChars="100"/>
              <w:jc w:val="both"/>
              <w:rPr>
                <w:rFonts w:ascii="仿宋" w:hAnsi="仿宋" w:eastAsia="仿宋" w:cs="仿宋"/>
                <w:bCs/>
                <w:color w:val="auto"/>
                <w:kern w:val="2"/>
                <w:sz w:val="24"/>
                <w:szCs w:val="24"/>
              </w:rPr>
            </w:pPr>
            <w:r>
              <w:rPr>
                <w:rFonts w:hint="eastAsia" w:ascii="仿宋" w:hAnsi="仿宋" w:eastAsia="仿宋" w:cs="仿宋"/>
                <w:color w:val="auto"/>
                <w:kern w:val="2"/>
                <w:sz w:val="24"/>
                <w:szCs w:val="24"/>
              </w:rPr>
              <w:t>本项目不收取</w:t>
            </w:r>
            <w:r>
              <w:rPr>
                <w:rFonts w:hint="eastAsia" w:ascii="仿宋" w:hAnsi="仿宋" w:eastAsia="仿宋" w:cs="仿宋"/>
                <w:color w:val="auto"/>
                <w:sz w:val="24"/>
                <w:szCs w:val="24"/>
                <w:highlight w:val="none"/>
                <w:shd w:val="clear" w:color="auto" w:fill="auto"/>
                <w:lang w:val="zh-CN"/>
              </w:rPr>
              <w:t>履约保证金</w:t>
            </w:r>
            <w:r>
              <w:rPr>
                <w:rFonts w:hint="eastAsia" w:ascii="仿宋" w:hAnsi="仿宋" w:eastAsia="仿宋" w:cs="仿宋"/>
                <w:color w:val="auto"/>
                <w:kern w:val="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656" w:type="dxa"/>
            <w:vAlign w:val="center"/>
          </w:tcPr>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10</w:t>
            </w:r>
          </w:p>
        </w:tc>
        <w:tc>
          <w:tcPr>
            <w:tcW w:w="2093" w:type="dxa"/>
            <w:vAlign w:val="center"/>
          </w:tcPr>
          <w:p>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现场考察和</w:t>
            </w:r>
          </w:p>
          <w:p>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spacing w:val="-2"/>
                <w:sz w:val="24"/>
                <w:szCs w:val="24"/>
              </w:rPr>
              <w:t>谈判</w:t>
            </w:r>
            <w:r>
              <w:rPr>
                <w:rFonts w:hint="eastAsia" w:ascii="仿宋" w:hAnsi="仿宋" w:eastAsia="仿宋" w:cs="仿宋"/>
                <w:bCs/>
                <w:color w:val="auto"/>
                <w:sz w:val="24"/>
                <w:szCs w:val="24"/>
              </w:rPr>
              <w:t>前答疑会</w:t>
            </w:r>
          </w:p>
        </w:tc>
        <w:tc>
          <w:tcPr>
            <w:tcW w:w="6705" w:type="dxa"/>
            <w:vAlign w:val="center"/>
          </w:tcPr>
          <w:p>
            <w:pPr>
              <w:spacing w:before="0" w:beforeLines="0" w:after="63" w:afterLines="20" w:line="400" w:lineRule="exact"/>
              <w:ind w:left="42" w:leftChars="20" w:right="42" w:rightChars="20" w:firstLine="240" w:firstLineChars="100"/>
              <w:rPr>
                <w:rFonts w:ascii="仿宋" w:hAnsi="仿宋" w:eastAsia="仿宋" w:cs="仿宋"/>
                <w:color w:val="auto"/>
                <w:sz w:val="24"/>
                <w:szCs w:val="24"/>
              </w:rPr>
            </w:pPr>
            <w:r>
              <w:rPr>
                <w:rFonts w:hint="eastAsia" w:ascii="仿宋" w:hAnsi="仿宋" w:eastAsia="仿宋" w:cs="仿宋"/>
                <w:color w:val="auto"/>
                <w:sz w:val="24"/>
                <w:szCs w:val="24"/>
              </w:rPr>
              <w:t>本项目</w:t>
            </w:r>
            <w:r>
              <w:rPr>
                <w:rFonts w:hint="eastAsia" w:ascii="仿宋" w:hAnsi="仿宋" w:eastAsia="仿宋" w:cs="仿宋"/>
                <w:bCs/>
                <w:color w:val="auto"/>
                <w:sz w:val="24"/>
                <w:szCs w:val="24"/>
              </w:rPr>
              <w:t>采购人</w:t>
            </w:r>
            <w:r>
              <w:rPr>
                <w:rFonts w:hint="eastAsia" w:ascii="仿宋" w:hAnsi="仿宋" w:eastAsia="仿宋" w:cs="仿宋"/>
                <w:color w:val="auto"/>
                <w:sz w:val="24"/>
                <w:szCs w:val="24"/>
              </w:rPr>
              <w:t>不组织现场考察和召开答疑会。</w:t>
            </w:r>
          </w:p>
          <w:p>
            <w:pPr>
              <w:spacing w:before="0" w:beforeLines="0" w:after="63" w:afterLines="20" w:line="400" w:lineRule="exact"/>
              <w:ind w:left="42" w:leftChars="20" w:right="42" w:rightChars="20" w:firstLine="240" w:firstLineChars="100"/>
              <w:jc w:val="left"/>
              <w:rPr>
                <w:rFonts w:ascii="仿宋" w:hAnsi="仿宋" w:eastAsia="仿宋" w:cs="仿宋"/>
                <w:bCs/>
                <w:color w:val="auto"/>
                <w:sz w:val="24"/>
                <w:szCs w:val="24"/>
              </w:rPr>
            </w:pPr>
            <w:r>
              <w:rPr>
                <w:rFonts w:hint="eastAsia" w:ascii="仿宋" w:hAnsi="仿宋" w:eastAsia="仿宋" w:cs="仿宋"/>
                <w:bCs/>
                <w:color w:val="auto"/>
                <w:sz w:val="24"/>
                <w:szCs w:val="24"/>
              </w:rPr>
              <w:t>采购人认为有必要，另行书面通知。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656" w:type="dxa"/>
            <w:vAlign w:val="center"/>
          </w:tcPr>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11</w:t>
            </w:r>
          </w:p>
        </w:tc>
        <w:tc>
          <w:tcPr>
            <w:tcW w:w="2093" w:type="dxa"/>
            <w:vAlign w:val="center"/>
          </w:tcPr>
          <w:p>
            <w:pPr>
              <w:pStyle w:val="82"/>
              <w:overflowPunct/>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kern w:val="2"/>
                <w:sz w:val="24"/>
                <w:szCs w:val="24"/>
              </w:rPr>
              <w:t>采购文件咨询</w:t>
            </w:r>
          </w:p>
        </w:tc>
        <w:tc>
          <w:tcPr>
            <w:tcW w:w="6705" w:type="dxa"/>
            <w:vAlign w:val="center"/>
          </w:tcPr>
          <w:p>
            <w:pPr>
              <w:overflowPunct/>
              <w:spacing w:before="0" w:beforeLines="0" w:after="63" w:afterLines="20" w:line="400" w:lineRule="exact"/>
              <w:ind w:left="42" w:leftChars="20" w:right="42" w:rightChars="20" w:firstLine="240" w:firstLineChars="100"/>
              <w:rPr>
                <w:rFonts w:ascii="仿宋" w:hAnsi="仿宋" w:eastAsia="仿宋" w:cs="仿宋"/>
                <w:color w:val="auto"/>
                <w:sz w:val="24"/>
                <w:szCs w:val="24"/>
                <w:lang w:val="zh-CN"/>
              </w:rPr>
            </w:pPr>
            <w:r>
              <w:rPr>
                <w:rFonts w:hint="eastAsia" w:ascii="仿宋" w:hAnsi="仿宋" w:eastAsia="仿宋" w:cs="仿宋"/>
                <w:color w:val="auto"/>
                <w:sz w:val="24"/>
                <w:szCs w:val="24"/>
              </w:rPr>
              <w:t>联 系 人：</w:t>
            </w:r>
            <w:r>
              <w:rPr>
                <w:rFonts w:hint="eastAsia" w:ascii="仿宋" w:hAnsi="仿宋" w:eastAsia="仿宋" w:cs="仿宋"/>
                <w:sz w:val="24"/>
                <w:lang w:eastAsia="zh-CN"/>
              </w:rPr>
              <w:t>陈女士</w:t>
            </w:r>
            <w:r>
              <w:rPr>
                <w:rFonts w:hint="eastAsia" w:ascii="仿宋" w:hAnsi="仿宋" w:eastAsia="仿宋" w:cs="仿宋"/>
                <w:color w:val="auto"/>
                <w:sz w:val="24"/>
                <w:szCs w:val="24"/>
                <w:lang w:val="zh-CN"/>
              </w:rPr>
              <w:t>；</w:t>
            </w:r>
          </w:p>
          <w:p>
            <w:pPr>
              <w:overflowPunct/>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联系电话：0813-8108222。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656" w:type="dxa"/>
            <w:vAlign w:val="center"/>
          </w:tcPr>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12</w:t>
            </w:r>
          </w:p>
        </w:tc>
        <w:tc>
          <w:tcPr>
            <w:tcW w:w="2093" w:type="dxa"/>
            <w:vAlign w:val="center"/>
          </w:tcPr>
          <w:p>
            <w:pPr>
              <w:pStyle w:val="82"/>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rPr>
              <w:t>谈判、评审工作</w:t>
            </w:r>
          </w:p>
          <w:p>
            <w:pPr>
              <w:pStyle w:val="82"/>
              <w:overflowPunct/>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kern w:val="2"/>
                <w:sz w:val="24"/>
                <w:szCs w:val="24"/>
              </w:rPr>
              <w:t>咨询</w:t>
            </w:r>
          </w:p>
        </w:tc>
        <w:tc>
          <w:tcPr>
            <w:tcW w:w="6705" w:type="dxa"/>
            <w:vAlign w:val="center"/>
          </w:tcPr>
          <w:p>
            <w:pPr>
              <w:overflowPunct/>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联 系 人：</w:t>
            </w:r>
            <w:r>
              <w:rPr>
                <w:rFonts w:hint="eastAsia" w:ascii="仿宋" w:hAnsi="仿宋" w:eastAsia="仿宋" w:cs="仿宋"/>
                <w:sz w:val="24"/>
                <w:lang w:eastAsia="zh-CN"/>
              </w:rPr>
              <w:t>陈女士</w:t>
            </w:r>
            <w:r>
              <w:rPr>
                <w:rFonts w:hint="eastAsia" w:ascii="仿宋" w:hAnsi="仿宋" w:eastAsia="仿宋" w:cs="仿宋"/>
                <w:color w:val="auto"/>
                <w:sz w:val="24"/>
                <w:szCs w:val="24"/>
                <w:lang w:eastAsia="zh-CN"/>
              </w:rPr>
              <w:t>；</w:t>
            </w:r>
          </w:p>
          <w:p>
            <w:pPr>
              <w:overflowPunct/>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联系电话：0813-8108222。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656" w:type="dxa"/>
            <w:vAlign w:val="center"/>
          </w:tcPr>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13</w:t>
            </w:r>
          </w:p>
        </w:tc>
        <w:tc>
          <w:tcPr>
            <w:tcW w:w="2093" w:type="dxa"/>
            <w:vAlign w:val="center"/>
          </w:tcPr>
          <w:p>
            <w:pPr>
              <w:tabs>
                <w:tab w:val="left" w:pos="7665"/>
              </w:tabs>
              <w:snapToGrid/>
              <w:spacing w:before="0" w:beforeLines="0" w:after="63" w:afterLines="20" w:line="400" w:lineRule="exact"/>
              <w:ind w:left="42" w:leftChars="20" w:right="42" w:rightChars="20" w:firstLine="0" w:firstLineChars="0"/>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eastAsia="zh-CN"/>
              </w:rPr>
              <w:t>响应</w:t>
            </w:r>
            <w:r>
              <w:rPr>
                <w:rFonts w:hint="eastAsia" w:ascii="仿宋" w:hAnsi="仿宋" w:eastAsia="仿宋" w:cs="仿宋"/>
                <w:b w:val="0"/>
                <w:bCs/>
                <w:color w:val="auto"/>
                <w:sz w:val="24"/>
                <w:szCs w:val="24"/>
              </w:rPr>
              <w:t>有效期</w:t>
            </w:r>
          </w:p>
          <w:p>
            <w:pPr>
              <w:tabs>
                <w:tab w:val="left" w:pos="7665"/>
              </w:tabs>
              <w:snapToGrid/>
              <w:spacing w:before="0" w:beforeLines="0" w:after="63" w:afterLines="20" w:line="400" w:lineRule="exact"/>
              <w:ind w:left="42" w:leftChars="20" w:right="42" w:rightChars="20" w:firstLine="0" w:firstLineChars="0"/>
              <w:jc w:val="center"/>
              <w:rPr>
                <w:rFonts w:hint="eastAsia" w:ascii="仿宋" w:hAnsi="仿宋" w:eastAsia="仿宋" w:cs="仿宋"/>
                <w:b w:val="0"/>
                <w:bCs/>
                <w:color w:val="auto"/>
                <w:sz w:val="24"/>
                <w:szCs w:val="24"/>
              </w:rPr>
            </w:pPr>
            <w:r>
              <w:rPr>
                <w:rFonts w:hint="eastAsia" w:ascii="仿宋" w:eastAsia="仿宋" w:cs="仿宋"/>
                <w:b/>
                <w:color w:val="auto"/>
                <w:kern w:val="2"/>
                <w:sz w:val="24"/>
                <w:szCs w:val="24"/>
                <w:lang w:val="zh-CN"/>
              </w:rPr>
              <w:t>（实质性要求）</w:t>
            </w:r>
          </w:p>
        </w:tc>
        <w:tc>
          <w:tcPr>
            <w:tcW w:w="6705" w:type="dxa"/>
            <w:vAlign w:val="center"/>
          </w:tcPr>
          <w:p>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本项目</w:t>
            </w:r>
            <w:r>
              <w:rPr>
                <w:rFonts w:hint="eastAsia" w:ascii="仿宋" w:hAnsi="仿宋" w:eastAsia="仿宋" w:cs="仿宋"/>
                <w:b w:val="0"/>
                <w:bCs/>
                <w:color w:val="auto"/>
                <w:sz w:val="24"/>
                <w:szCs w:val="24"/>
                <w:lang w:eastAsia="zh-CN"/>
              </w:rPr>
              <w:t>响应</w:t>
            </w:r>
            <w:r>
              <w:rPr>
                <w:rFonts w:hint="eastAsia" w:ascii="仿宋" w:hAnsi="仿宋" w:eastAsia="仿宋" w:cs="仿宋"/>
                <w:b w:val="0"/>
                <w:bCs/>
                <w:color w:val="auto"/>
                <w:sz w:val="24"/>
                <w:szCs w:val="24"/>
                <w:lang w:val="zh-CN"/>
              </w:rPr>
              <w:t>有效期为递交响应文件截止之日起满</w:t>
            </w:r>
            <w:r>
              <w:rPr>
                <w:rFonts w:hint="eastAsia" w:ascii="仿宋" w:hAnsi="仿宋" w:eastAsia="仿宋" w:cs="仿宋"/>
                <w:b w:val="0"/>
                <w:bCs/>
                <w:color w:val="auto"/>
                <w:sz w:val="24"/>
                <w:szCs w:val="24"/>
              </w:rPr>
              <w:t>90天（从谈判之日起），</w:t>
            </w:r>
            <w:r>
              <w:rPr>
                <w:rFonts w:hint="eastAsia" w:ascii="仿宋" w:hAnsi="仿宋" w:eastAsia="仿宋" w:cs="仿宋"/>
                <w:b w:val="0"/>
                <w:bCs/>
                <w:color w:val="auto"/>
                <w:sz w:val="24"/>
                <w:szCs w:val="24"/>
                <w:lang w:val="zh-CN"/>
              </w:rPr>
              <w:t>响应文件响应</w:t>
            </w:r>
            <w:r>
              <w:rPr>
                <w:rFonts w:hint="eastAsia" w:ascii="仿宋" w:hAnsi="仿宋" w:eastAsia="仿宋" w:cs="仿宋"/>
                <w:b w:val="0"/>
                <w:bCs/>
                <w:color w:val="auto"/>
                <w:sz w:val="24"/>
                <w:szCs w:val="24"/>
              </w:rPr>
              <w:t>有效期不足将导致其响应文件无效。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8" w:hRule="atLeast"/>
          <w:jc w:val="center"/>
        </w:trPr>
        <w:tc>
          <w:tcPr>
            <w:tcW w:w="656" w:type="dxa"/>
            <w:vAlign w:val="center"/>
          </w:tcPr>
          <w:p>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14</w:t>
            </w:r>
          </w:p>
        </w:tc>
        <w:tc>
          <w:tcPr>
            <w:tcW w:w="2093" w:type="dxa"/>
            <w:vAlign w:val="center"/>
          </w:tcPr>
          <w:p>
            <w:pPr>
              <w:tabs>
                <w:tab w:val="left" w:pos="7665"/>
              </w:tabs>
              <w:snapToGrid/>
              <w:spacing w:before="0" w:beforeLines="0" w:after="63" w:afterLines="20" w:line="400" w:lineRule="exact"/>
              <w:ind w:left="42" w:leftChars="20" w:right="42" w:rightChars="20" w:firstLine="240" w:firstLineChars="100"/>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响应文件份数</w:t>
            </w:r>
            <w:r>
              <w:rPr>
                <w:rFonts w:hint="eastAsia" w:ascii="仿宋" w:eastAsia="仿宋" w:cs="仿宋"/>
                <w:b/>
                <w:color w:val="000000" w:themeColor="text1"/>
                <w:kern w:val="2"/>
                <w:sz w:val="24"/>
                <w:szCs w:val="24"/>
                <w:lang w:val="zh-CN"/>
                <w14:textFill>
                  <w14:solidFill>
                    <w14:schemeClr w14:val="tx1"/>
                  </w14:solidFill>
                </w14:textFill>
              </w:rPr>
              <w:t>（实质性要求）</w:t>
            </w:r>
          </w:p>
        </w:tc>
        <w:tc>
          <w:tcPr>
            <w:tcW w:w="6705" w:type="dxa"/>
            <w:vAlign w:val="center"/>
          </w:tcPr>
          <w:p>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资格性响应文件1式3份（其中正本1份、副本2份）；</w:t>
            </w:r>
          </w:p>
          <w:p>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eastAsia="zh-CN"/>
              </w:rPr>
              <w:t>其他响应文件</w:t>
            </w:r>
            <w:r>
              <w:rPr>
                <w:rFonts w:hint="eastAsia" w:ascii="仿宋" w:hAnsi="仿宋" w:eastAsia="仿宋" w:cs="仿宋"/>
                <w:b w:val="0"/>
                <w:bCs/>
                <w:color w:val="auto"/>
                <w:sz w:val="24"/>
                <w:szCs w:val="24"/>
              </w:rPr>
              <w:t>1式3份（其中正本1份、副本2份）;</w:t>
            </w:r>
          </w:p>
          <w:p>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报价响应文件1份；</w:t>
            </w:r>
          </w:p>
          <w:p>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响应文件电子文档（U盘）1份。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56" w:type="dxa"/>
            <w:vAlign w:val="center"/>
          </w:tcPr>
          <w:p>
            <w:pPr>
              <w:pStyle w:val="82"/>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5</w:t>
            </w:r>
          </w:p>
        </w:tc>
        <w:tc>
          <w:tcPr>
            <w:tcW w:w="2093" w:type="dxa"/>
            <w:vAlign w:val="center"/>
          </w:tcPr>
          <w:p>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成交通知书领取</w:t>
            </w:r>
          </w:p>
        </w:tc>
        <w:tc>
          <w:tcPr>
            <w:tcW w:w="6705" w:type="dxa"/>
            <w:vAlign w:val="center"/>
          </w:tcPr>
          <w:p>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lang w:eastAsia="zh-CN"/>
              </w:rPr>
              <w:t>采购结果在</w:t>
            </w:r>
            <w:r>
              <w:rPr>
                <w:rFonts w:hint="eastAsia" w:ascii="仿宋" w:hAnsi="仿宋" w:eastAsia="仿宋" w:cs="仿宋"/>
                <w:bCs/>
                <w:color w:val="auto"/>
                <w:spacing w:val="0"/>
                <w:sz w:val="24"/>
                <w:highlight w:val="none"/>
                <w:shd w:val="clear" w:color="auto" w:fill="auto"/>
                <w:lang w:val="en-US" w:eastAsia="zh-CN"/>
              </w:rPr>
              <w:t>四川招投标网</w:t>
            </w:r>
            <w:r>
              <w:rPr>
                <w:rFonts w:hint="eastAsia" w:ascii="仿宋" w:hAnsi="仿宋" w:eastAsia="仿宋" w:cs="Times New Roman"/>
                <w:bCs w:val="0"/>
                <w:color w:val="auto"/>
                <w:spacing w:val="-2"/>
                <w:sz w:val="24"/>
                <w:highlight w:val="none"/>
                <w:shd w:val="clear" w:color="auto" w:fill="auto"/>
                <w:lang w:val="en-US" w:eastAsia="zh-CN"/>
              </w:rPr>
              <w:t>（www.scbid.com）</w:t>
            </w:r>
            <w:r>
              <w:rPr>
                <w:rFonts w:hint="eastAsia" w:ascii="仿宋" w:hAnsi="仿宋" w:eastAsia="仿宋" w:cs="仿宋"/>
                <w:bCs/>
                <w:color w:val="auto"/>
                <w:spacing w:val="0"/>
                <w:sz w:val="24"/>
                <w:highlight w:val="none"/>
                <w:shd w:val="clear" w:color="auto" w:fill="auto"/>
                <w:lang w:val="en-US" w:eastAsia="zh-CN"/>
              </w:rPr>
              <w:t>上公示后</w:t>
            </w:r>
            <w:r>
              <w:rPr>
                <w:rFonts w:hint="eastAsia" w:ascii="仿宋" w:hAnsi="仿宋" w:eastAsia="仿宋" w:cs="仿宋"/>
                <w:bCs/>
                <w:color w:val="auto"/>
                <w:sz w:val="24"/>
                <w:szCs w:val="24"/>
              </w:rPr>
              <w:t>，</w:t>
            </w:r>
            <w:r>
              <w:rPr>
                <w:rFonts w:hint="eastAsia" w:ascii="仿宋" w:hAnsi="仿宋" w:eastAsia="仿宋" w:cs="仿宋"/>
                <w:color w:val="auto"/>
                <w:sz w:val="24"/>
                <w:szCs w:val="24"/>
                <w:lang w:val="zh-CN"/>
              </w:rPr>
              <w:t>请成交供应商凭有效身份证明证件到采购代理机构办理完代理服务费交费手续后领取成交通知书。</w:t>
            </w:r>
          </w:p>
          <w:p>
            <w:pPr>
              <w:tabs>
                <w:tab w:val="left" w:pos="7665"/>
              </w:tabs>
              <w:snapToGrid/>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联 系 人：</w:t>
            </w:r>
            <w:r>
              <w:rPr>
                <w:rFonts w:hint="eastAsia" w:ascii="仿宋" w:hAnsi="仿宋" w:eastAsia="仿宋" w:cs="仿宋"/>
                <w:bCs/>
                <w:color w:val="auto"/>
                <w:sz w:val="24"/>
                <w:szCs w:val="24"/>
                <w:lang w:eastAsia="zh-CN"/>
              </w:rPr>
              <w:t>张女士</w:t>
            </w:r>
          </w:p>
          <w:p>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联系电话：0813-2220079</w:t>
            </w:r>
          </w:p>
          <w:p>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地</w:t>
            </w:r>
            <w:r>
              <w:rPr>
                <w:rFonts w:hint="eastAsia" w:ascii="仿宋" w:hAnsi="仿宋" w:eastAsia="仿宋" w:cs="仿宋"/>
                <w:bCs/>
                <w:color w:val="auto"/>
                <w:sz w:val="24"/>
                <w:szCs w:val="24"/>
                <w:lang w:val="en-US" w:eastAsia="zh-CN"/>
              </w:rPr>
              <w:t xml:space="preserve">    </w:t>
            </w:r>
            <w:r>
              <w:rPr>
                <w:rFonts w:hint="eastAsia" w:ascii="仿宋" w:hAnsi="仿宋" w:eastAsia="仿宋" w:cs="仿宋"/>
                <w:bCs/>
                <w:color w:val="auto"/>
                <w:sz w:val="24"/>
                <w:szCs w:val="24"/>
              </w:rPr>
              <w:t>址：</w:t>
            </w:r>
            <w:r>
              <w:rPr>
                <w:rFonts w:hint="eastAsia" w:ascii="仿宋" w:hAnsi="仿宋" w:eastAsia="仿宋" w:cs="仿宋"/>
                <w:color w:val="auto"/>
                <w:spacing w:val="-2"/>
                <w:sz w:val="24"/>
                <w:szCs w:val="24"/>
              </w:rPr>
              <w:t>自贡市自流井区汇东丹桂大街蓝鹰海岸综合楼二楼</w:t>
            </w:r>
            <w:r>
              <w:rPr>
                <w:rFonts w:hint="eastAsia" w:ascii="仿宋" w:hAnsi="仿宋" w:eastAsia="仿宋" w:cs="仿宋"/>
                <w:bCs/>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656" w:type="dxa"/>
            <w:vAlign w:val="center"/>
          </w:tcPr>
          <w:p>
            <w:pPr>
              <w:pStyle w:val="82"/>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6</w:t>
            </w:r>
          </w:p>
        </w:tc>
        <w:tc>
          <w:tcPr>
            <w:tcW w:w="2093" w:type="dxa"/>
            <w:vAlign w:val="center"/>
          </w:tcPr>
          <w:p>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000000" w:themeColor="text1"/>
                <w:sz w:val="24"/>
                <w:szCs w:val="24"/>
                <w14:textFill>
                  <w14:solidFill>
                    <w14:schemeClr w14:val="tx1"/>
                  </w14:solidFill>
                </w14:textFill>
              </w:rPr>
              <w:t>采购代理服务费</w:t>
            </w:r>
            <w:r>
              <w:rPr>
                <w:rFonts w:hint="eastAsia" w:ascii="仿宋" w:eastAsia="仿宋" w:cs="仿宋"/>
                <w:b/>
                <w:color w:val="000000" w:themeColor="text1"/>
                <w:kern w:val="2"/>
                <w:sz w:val="24"/>
                <w:szCs w:val="24"/>
                <w:lang w:val="zh-CN"/>
                <w14:textFill>
                  <w14:solidFill>
                    <w14:schemeClr w14:val="tx1"/>
                  </w14:solidFill>
                </w14:textFill>
              </w:rPr>
              <w:t>（实质性要求）</w:t>
            </w:r>
          </w:p>
        </w:tc>
        <w:tc>
          <w:tcPr>
            <w:tcW w:w="6705" w:type="dxa"/>
            <w:vAlign w:val="center"/>
          </w:tcPr>
          <w:p>
            <w:pPr>
              <w:pStyle w:val="82"/>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highlight w:val="none"/>
                <w:lang w:val="zh-CN" w:eastAsia="zh-CN" w:bidi="ar-SA"/>
              </w:rPr>
            </w:pPr>
            <w:r>
              <w:rPr>
                <w:rFonts w:hint="eastAsia" w:ascii="仿宋" w:hAnsi="仿宋" w:eastAsia="仿宋" w:cs="仿宋"/>
                <w:bCs/>
                <w:color w:val="auto"/>
                <w:kern w:val="2"/>
                <w:sz w:val="24"/>
                <w:szCs w:val="24"/>
                <w:lang w:val="zh-CN" w:eastAsia="zh-CN" w:bidi="ar-SA"/>
              </w:rPr>
              <w:t>本项目预算已包含采购代理服务费,根据委托代理协议约定，本项目采购代理服</w:t>
            </w:r>
            <w:r>
              <w:rPr>
                <w:rFonts w:hint="eastAsia" w:ascii="仿宋" w:hAnsi="仿宋" w:eastAsia="仿宋" w:cs="仿宋"/>
                <w:bCs/>
                <w:color w:val="auto"/>
                <w:kern w:val="2"/>
                <w:sz w:val="24"/>
                <w:szCs w:val="24"/>
                <w:highlight w:val="none"/>
                <w:lang w:val="zh-CN" w:eastAsia="zh-CN" w:bidi="ar-SA"/>
              </w:rPr>
              <w:t>务费按照</w:t>
            </w:r>
            <w:r>
              <w:rPr>
                <w:rFonts w:hint="eastAsia" w:ascii="仿宋" w:hAnsi="仿宋" w:eastAsia="仿宋" w:cs="仿宋"/>
                <w:bCs/>
                <w:color w:val="auto"/>
                <w:kern w:val="2"/>
                <w:sz w:val="24"/>
                <w:szCs w:val="24"/>
                <w:highlight w:val="none"/>
                <w:lang w:val="en-US" w:eastAsia="zh-CN" w:bidi="ar-SA"/>
              </w:rPr>
              <w:t>3000.00</w:t>
            </w:r>
            <w:r>
              <w:rPr>
                <w:rFonts w:hint="eastAsia" w:ascii="仿宋" w:hAnsi="仿宋" w:eastAsia="仿宋" w:cs="仿宋"/>
                <w:bCs/>
                <w:color w:val="auto"/>
                <w:kern w:val="2"/>
                <w:sz w:val="24"/>
                <w:szCs w:val="24"/>
                <w:highlight w:val="none"/>
                <w:lang w:val="zh-CN" w:eastAsia="zh-CN" w:bidi="ar-SA"/>
              </w:rPr>
              <w:t>元收取，由成交供应商支付。</w:t>
            </w:r>
          </w:p>
          <w:p>
            <w:pPr>
              <w:pStyle w:val="82"/>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代理服务费收款账户：</w:t>
            </w:r>
          </w:p>
          <w:p>
            <w:pPr>
              <w:pStyle w:val="82"/>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户    名：四川久润招投标代理有限公司</w:t>
            </w:r>
          </w:p>
          <w:p>
            <w:pPr>
              <w:pStyle w:val="82"/>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帐    号：102012000001139849</w:t>
            </w:r>
          </w:p>
          <w:p>
            <w:pPr>
              <w:pStyle w:val="82"/>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开 户 行：自贡银行股份有限公司营业部</w:t>
            </w:r>
          </w:p>
          <w:p>
            <w:pPr>
              <w:pStyle w:val="82"/>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ascii="仿宋" w:hAnsi="仿宋" w:eastAsia="仿宋" w:cs="仿宋"/>
                <w:color w:val="auto"/>
                <w:sz w:val="24"/>
                <w:szCs w:val="24"/>
              </w:rPr>
            </w:pPr>
            <w:r>
              <w:rPr>
                <w:rFonts w:hint="eastAsia" w:ascii="仿宋" w:hAnsi="仿宋" w:eastAsia="仿宋" w:cs="仿宋"/>
                <w:bCs/>
                <w:color w:val="auto"/>
                <w:kern w:val="2"/>
                <w:sz w:val="24"/>
                <w:szCs w:val="24"/>
                <w:lang w:val="zh-CN" w:eastAsia="zh-CN" w:bidi="ar-SA"/>
              </w:rPr>
              <w:t>联系电话：0813-2220079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3" w:hRule="atLeast"/>
          <w:jc w:val="center"/>
        </w:trPr>
        <w:tc>
          <w:tcPr>
            <w:tcW w:w="656" w:type="dxa"/>
            <w:vAlign w:val="center"/>
          </w:tcPr>
          <w:p>
            <w:pPr>
              <w:pStyle w:val="82"/>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8</w:t>
            </w:r>
          </w:p>
        </w:tc>
        <w:tc>
          <w:tcPr>
            <w:tcW w:w="2093" w:type="dxa"/>
            <w:vAlign w:val="center"/>
          </w:tcPr>
          <w:p>
            <w:pPr>
              <w:spacing w:before="0" w:beforeLines="0" w:after="63" w:afterLines="20" w:line="400" w:lineRule="exact"/>
              <w:ind w:left="42" w:leftChars="20" w:right="42" w:rightChars="20" w:firstLine="240" w:firstLineChars="100"/>
              <w:jc w:val="center"/>
              <w:rPr>
                <w:rFonts w:ascii="仿宋" w:hAnsi="仿宋" w:eastAsia="仿宋" w:cs="仿宋"/>
                <w:bCs/>
                <w:color w:val="auto"/>
                <w:sz w:val="24"/>
                <w:szCs w:val="24"/>
              </w:rPr>
            </w:pPr>
            <w:r>
              <w:rPr>
                <w:rFonts w:hint="eastAsia" w:ascii="仿宋" w:hAnsi="仿宋" w:eastAsia="仿宋" w:cs="仿宋"/>
                <w:bCs/>
                <w:color w:val="auto"/>
                <w:sz w:val="24"/>
                <w:szCs w:val="24"/>
              </w:rPr>
              <w:t>本次采购活动适用法律、法规的特别约定和说明</w:t>
            </w:r>
          </w:p>
        </w:tc>
        <w:tc>
          <w:tcPr>
            <w:tcW w:w="6705" w:type="dxa"/>
            <w:vAlign w:val="center"/>
          </w:tcPr>
          <w:p>
            <w:pPr>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rPr>
            </w:pPr>
            <w:r>
              <w:rPr>
                <w:rFonts w:hint="eastAsia" w:ascii="仿宋" w:hAnsi="仿宋" w:eastAsia="仿宋" w:cs="仿宋"/>
                <w:bCs/>
                <w:color w:val="auto"/>
                <w:sz w:val="24"/>
                <w:szCs w:val="24"/>
              </w:rPr>
              <w:t>1、本次采购活动是按《中华人民共和国民法典》之相关规定，以网络公告方式发起要约、受要约人(竞标人)对要约事项进行竞标承诺响应的一次普通民事采购经济活动，受《中华人民共和国民法典》的调整、保护。凡参与本项目采购活动的均须遵守《中华人民共和国民法典》规定的“平等自愿”、“诚实信用”和“意思自治”原则，并自觉接受采购文件的相关要约事项。</w:t>
            </w:r>
          </w:p>
          <w:p>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2、 本采购活动不受《中华人民共和国政府采购法》、《中华人民共和国政府采购法实施条例》及其相关政府采购法律、法规制度的调整约束。竞标人愿意接受本采购文件之要约内容，即参与采购活动；不能接受本采购文件之要约内容，则无需参与；本项目</w:t>
            </w:r>
            <w:r>
              <w:rPr>
                <w:rFonts w:hint="eastAsia" w:ascii="仿宋" w:hAnsi="仿宋" w:eastAsia="仿宋" w:cs="仿宋"/>
                <w:bCs/>
                <w:color w:val="auto"/>
                <w:sz w:val="24"/>
                <w:szCs w:val="24"/>
                <w:lang w:eastAsia="zh-CN"/>
              </w:rPr>
              <w:t>不接受</w:t>
            </w:r>
            <w:r>
              <w:rPr>
                <w:rFonts w:hint="eastAsia" w:ascii="仿宋" w:hAnsi="仿宋" w:eastAsia="仿宋" w:cs="仿宋"/>
                <w:bCs/>
                <w:color w:val="auto"/>
                <w:sz w:val="24"/>
                <w:szCs w:val="24"/>
              </w:rPr>
              <w:t>质疑、投诉。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pPr>
              <w:pStyle w:val="82"/>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19</w:t>
            </w:r>
          </w:p>
        </w:tc>
        <w:tc>
          <w:tcPr>
            <w:tcW w:w="2093" w:type="dxa"/>
            <w:vAlign w:val="center"/>
          </w:tcPr>
          <w:p>
            <w:pPr>
              <w:spacing w:before="0" w:beforeLines="0" w:after="63" w:afterLines="20" w:line="400" w:lineRule="exact"/>
              <w:ind w:left="42" w:leftChars="20" w:right="42" w:rightChars="20" w:firstLine="240" w:firstLineChars="100"/>
              <w:jc w:val="center"/>
              <w:rPr>
                <w:rFonts w:ascii="仿宋" w:hAnsi="仿宋" w:eastAsia="仿宋" w:cs="仿宋"/>
                <w:bCs/>
                <w:color w:val="auto"/>
                <w:sz w:val="24"/>
                <w:szCs w:val="24"/>
              </w:rPr>
            </w:pPr>
            <w:r>
              <w:rPr>
                <w:rFonts w:hint="eastAsia" w:ascii="仿宋" w:hAnsi="仿宋" w:eastAsia="仿宋" w:cs="仿宋"/>
                <w:color w:val="auto"/>
                <w:sz w:val="24"/>
                <w:szCs w:val="24"/>
              </w:rPr>
              <w:t>确定供应商的程序及规则</w:t>
            </w:r>
          </w:p>
        </w:tc>
        <w:tc>
          <w:tcPr>
            <w:tcW w:w="6705" w:type="dxa"/>
            <w:vAlign w:val="center"/>
          </w:tcPr>
          <w:p>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本次采购活动，采购人和代理机构为了公平起见，参考了政府采购法规制度中的部分评审程序和评审方法来评审确定成交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 w:hRule="atLeast"/>
          <w:jc w:val="center"/>
        </w:trPr>
        <w:tc>
          <w:tcPr>
            <w:tcW w:w="656" w:type="dxa"/>
            <w:vAlign w:val="center"/>
          </w:tcPr>
          <w:p>
            <w:pPr>
              <w:pStyle w:val="82"/>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20</w:t>
            </w:r>
          </w:p>
        </w:tc>
        <w:tc>
          <w:tcPr>
            <w:tcW w:w="2093" w:type="dxa"/>
            <w:vAlign w:val="center"/>
          </w:tcPr>
          <w:p>
            <w:pPr>
              <w:pStyle w:val="82"/>
              <w:widowControl/>
              <w:spacing w:before="0" w:beforeLines="0" w:after="63" w:afterLines="20" w:line="400" w:lineRule="exact"/>
              <w:ind w:left="42" w:leftChars="20" w:right="42" w:rightChars="20" w:firstLine="0" w:firstLineChars="0"/>
              <w:jc w:val="center"/>
              <w:rPr>
                <w:rFonts w:hint="eastAsia" w:ascii="仿宋" w:hAnsi="仿宋" w:eastAsia="仿宋" w:cs="仿宋"/>
                <w:color w:val="auto"/>
                <w:szCs w:val="24"/>
              </w:rPr>
            </w:pPr>
            <w:r>
              <w:rPr>
                <w:rFonts w:hint="eastAsia" w:ascii="仿宋" w:hAnsi="仿宋" w:eastAsia="仿宋" w:cs="仿宋"/>
                <w:color w:val="auto"/>
                <w:szCs w:val="24"/>
              </w:rPr>
              <w:t>信用记录查询及使用</w:t>
            </w:r>
          </w:p>
          <w:p>
            <w:pPr>
              <w:pStyle w:val="82"/>
              <w:widowControl/>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p>
        </w:tc>
        <w:tc>
          <w:tcPr>
            <w:tcW w:w="6705" w:type="dxa"/>
            <w:vAlign w:val="center"/>
          </w:tcPr>
          <w:p>
            <w:pPr>
              <w:pStyle w:val="82"/>
              <w:widowControl w:val="0"/>
              <w:spacing w:before="0" w:beforeLines="0" w:after="63" w:afterLines="20" w:line="400" w:lineRule="exact"/>
              <w:ind w:left="42" w:leftChars="20" w:right="42" w:rightChars="20" w:firstLine="240" w:firstLineChars="100"/>
              <w:rPr>
                <w:rFonts w:hint="eastAsia" w:ascii="仿宋" w:hAnsi="仿宋" w:eastAsia="仿宋" w:cs="仿宋"/>
                <w:color w:val="auto"/>
                <w:szCs w:val="24"/>
              </w:rPr>
            </w:pPr>
            <w:r>
              <w:rPr>
                <w:rFonts w:hint="eastAsia" w:ascii="仿宋" w:hAnsi="仿宋" w:eastAsia="仿宋" w:cs="仿宋"/>
                <w:color w:val="auto"/>
                <w:szCs w:val="24"/>
              </w:rPr>
              <w:t>采购人、采购代理机构在供应商提交</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文件时间截止后，通过“信用中国”网站（www.creditchina.gov.cn）、“中国政府采购网”网站（www.ccgp.gov.cn）等渠道查询递交了</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文件的供应商的信用记录。经查询，截至</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文件提交截止日，列入失信被执行人、重大税收违法案件当事人名单、政府采购严重违法失信行为记录名单的供应商，不得参与本项目采购活动。</w:t>
            </w:r>
          </w:p>
          <w:p>
            <w:pPr>
              <w:pStyle w:val="82"/>
              <w:widowControl w:val="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Cs w:val="24"/>
              </w:rPr>
              <w:t>以联合体形式参加本项目采购活动，联合体成员存在前述不良信用记录的，视同联合体存在前述不良信用记录，不得参与本项目采购活动。前述无效</w:t>
            </w:r>
            <w:r>
              <w:rPr>
                <w:rFonts w:hint="eastAsia" w:ascii="仿宋" w:hAnsi="仿宋" w:eastAsia="仿宋" w:cs="仿宋"/>
                <w:color w:val="auto"/>
                <w:szCs w:val="24"/>
                <w:lang w:eastAsia="zh-CN"/>
              </w:rPr>
              <w:t>供应商</w:t>
            </w:r>
            <w:r>
              <w:rPr>
                <w:rFonts w:hint="eastAsia" w:ascii="仿宋" w:hAnsi="仿宋" w:eastAsia="仿宋" w:cs="仿宋"/>
                <w:color w:val="auto"/>
                <w:szCs w:val="24"/>
              </w:rPr>
              <w:t>的信用记录查询结果网页截图将予以保存。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pPr>
              <w:pStyle w:val="82"/>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21</w:t>
            </w:r>
          </w:p>
        </w:tc>
        <w:tc>
          <w:tcPr>
            <w:tcW w:w="2093" w:type="dxa"/>
            <w:vAlign w:val="center"/>
          </w:tcPr>
          <w:p>
            <w:pPr>
              <w:pStyle w:val="82"/>
              <w:spacing w:before="0" w:beforeLines="0" w:after="63" w:afterLines="20" w:line="400" w:lineRule="exact"/>
              <w:ind w:left="42" w:leftChars="20" w:right="42" w:rightChars="20" w:firstLine="0" w:firstLineChars="0"/>
              <w:jc w:val="center"/>
              <w:rPr>
                <w:rFonts w:hint="eastAsia" w:ascii="仿宋" w:hAnsi="仿宋" w:eastAsia="仿宋" w:cs="仿宋"/>
                <w:color w:val="auto"/>
                <w:sz w:val="24"/>
                <w:szCs w:val="24"/>
              </w:rPr>
            </w:pPr>
            <w:r>
              <w:rPr>
                <w:rFonts w:hint="eastAsia" w:ascii="仿宋" w:hAnsi="仿宋" w:eastAsia="仿宋" w:cs="仿宋"/>
                <w:color w:val="auto"/>
                <w:szCs w:val="24"/>
              </w:rPr>
              <w:t>充分、公平竞争保障措施</w:t>
            </w:r>
          </w:p>
        </w:tc>
        <w:tc>
          <w:tcPr>
            <w:tcW w:w="6705" w:type="dxa"/>
            <w:vAlign w:val="center"/>
          </w:tcPr>
          <w:p>
            <w:pPr>
              <w:pStyle w:val="82"/>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单位负责人为同一人或者存在直接控股、管理关系的不同供应商不得参加同一合同项下的采购活动。 </w:t>
            </w:r>
          </w:p>
          <w:p>
            <w:pPr>
              <w:pStyle w:val="82"/>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不同供应商不得在同一合同项下的采购项目中，委托同一个自然人、同一单位的人员编制响应文件。</w:t>
            </w:r>
          </w:p>
          <w:p>
            <w:pPr>
              <w:pStyle w:val="82"/>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不同供应商不得在同一合同项下的采购项目中，委托同一个自然人、同一单位的人员办理响应事宜。</w:t>
            </w:r>
          </w:p>
          <w:p>
            <w:pPr>
              <w:pStyle w:val="82"/>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不同供应商的响应文件载明的项目管理成员或者联系人员不得为同一人。</w:t>
            </w:r>
          </w:p>
          <w:p>
            <w:pPr>
              <w:pStyle w:val="82"/>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不同供应商的响应文件不得相互混装。</w:t>
            </w:r>
          </w:p>
          <w:p>
            <w:pPr>
              <w:pStyle w:val="82"/>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审因素和标准、政府采购合同等实质性内容条款的，视同为采购项目提供规范编制。</w:t>
            </w:r>
          </w:p>
          <w:p>
            <w:pPr>
              <w:pStyle w:val="82"/>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本项目符合本条规定的供应商是：</w:t>
            </w:r>
            <w:r>
              <w:rPr>
                <w:rFonts w:hint="eastAsia" w:ascii="仿宋" w:hAnsi="仿宋" w:eastAsia="仿宋" w:cs="仿宋"/>
                <w:color w:val="auto"/>
                <w:sz w:val="24"/>
                <w:szCs w:val="24"/>
                <w:u w:val="single"/>
              </w:rPr>
              <w:t xml:space="preserve">  无   </w:t>
            </w:r>
            <w:r>
              <w:rPr>
                <w:rFonts w:hint="eastAsia" w:ascii="仿宋" w:hAnsi="仿宋" w:eastAsia="仿宋" w:cs="仿宋"/>
                <w:color w:val="auto"/>
                <w:sz w:val="24"/>
                <w:szCs w:val="24"/>
              </w:rPr>
              <w:t>。</w:t>
            </w:r>
          </w:p>
          <w:p>
            <w:pPr>
              <w:autoSpaceDE w:val="0"/>
              <w:autoSpaceDN w:val="0"/>
              <w:adjustRightInd w:val="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本项目采购代理及其分支机构不得作为供应商参加本项目采购活动。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656" w:type="dxa"/>
            <w:vAlign w:val="center"/>
          </w:tcPr>
          <w:p>
            <w:pPr>
              <w:pStyle w:val="82"/>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22</w:t>
            </w:r>
          </w:p>
        </w:tc>
        <w:tc>
          <w:tcPr>
            <w:tcW w:w="2093" w:type="dxa"/>
            <w:vAlign w:val="center"/>
          </w:tcPr>
          <w:p>
            <w:pPr>
              <w:pStyle w:val="87"/>
              <w:spacing w:beforeLines="0" w:after="63" w:afterLines="20" w:line="400" w:lineRule="exact"/>
              <w:ind w:left="42" w:leftChars="20" w:right="42" w:rightChars="20" w:firstLine="0" w:firstLineChars="0"/>
              <w:jc w:val="center"/>
              <w:rPr>
                <w:rFonts w:hint="eastAsia" w:ascii="仿宋" w:hAnsi="仿宋" w:eastAsia="仿宋" w:cs="仿宋"/>
                <w:color w:val="auto"/>
                <w:szCs w:val="24"/>
              </w:rPr>
            </w:pPr>
            <w:r>
              <w:rPr>
                <w:rFonts w:hint="eastAsia" w:ascii="仿宋" w:hAnsi="仿宋" w:eastAsia="仿宋" w:cs="仿宋"/>
                <w:b/>
                <w:bCs/>
                <w:color w:val="auto"/>
                <w:sz w:val="24"/>
              </w:rPr>
              <w:t>其他特别约定事项</w:t>
            </w:r>
          </w:p>
        </w:tc>
        <w:tc>
          <w:tcPr>
            <w:tcW w:w="6705" w:type="dxa"/>
            <w:vAlign w:val="center"/>
          </w:tcPr>
          <w:p>
            <w:pPr>
              <w:pStyle w:val="82"/>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b w:val="0"/>
                <w:bCs w:val="0"/>
                <w:color w:val="auto"/>
                <w:sz w:val="24"/>
                <w:szCs w:val="24"/>
                <w:highlight w:val="none"/>
              </w:rPr>
              <w:t>评审委在对</w:t>
            </w:r>
            <w:r>
              <w:rPr>
                <w:rFonts w:hint="eastAsia" w:ascii="仿宋" w:hAnsi="仿宋" w:eastAsia="仿宋" w:cs="仿宋"/>
                <w:b w:val="0"/>
                <w:bCs w:val="0"/>
                <w:color w:val="auto"/>
                <w:sz w:val="24"/>
                <w:szCs w:val="24"/>
                <w:highlight w:val="none"/>
                <w:lang w:eastAsia="zh-CN"/>
              </w:rPr>
              <w:t>供应商</w:t>
            </w:r>
            <w:r>
              <w:rPr>
                <w:rFonts w:hint="eastAsia" w:ascii="仿宋" w:hAnsi="仿宋" w:eastAsia="仿宋" w:cs="仿宋"/>
                <w:b w:val="0"/>
                <w:bCs w:val="0"/>
                <w:color w:val="auto"/>
                <w:sz w:val="24"/>
                <w:szCs w:val="24"/>
                <w:highlight w:val="none"/>
              </w:rPr>
              <w:t>响应文件的有效性、完整性和响应程度进行审查时，可以要求供应商对响应文件中含义不明确、同类问题表述不一致或者有明显文字和计算错误的内容等作出必要的澄清、说明或者更正。评审委要求供应商澄清、说明或者更正响应文件应当以书面形式作出。</w:t>
            </w:r>
            <w:r>
              <w:rPr>
                <w:rFonts w:hint="eastAsia" w:ascii="仿宋" w:hAnsi="仿宋" w:eastAsia="仿宋" w:cs="仿宋"/>
                <w:color w:val="auto"/>
              </w:rPr>
              <w:t>为了提高评审效率，评审中需要供应商进行现场</w:t>
            </w:r>
            <w:r>
              <w:rPr>
                <w:rFonts w:hint="eastAsia" w:ascii="仿宋" w:hAnsi="仿宋" w:eastAsia="仿宋" w:cs="仿宋"/>
                <w:color w:val="auto"/>
                <w:lang w:eastAsia="zh-CN"/>
              </w:rPr>
              <w:t>谈判</w:t>
            </w:r>
            <w:r>
              <w:rPr>
                <w:rFonts w:hint="eastAsia" w:ascii="仿宋" w:hAnsi="仿宋" w:eastAsia="仿宋" w:cs="仿宋"/>
                <w:color w:val="auto"/>
              </w:rPr>
              <w:t>或书面答疑、澄清的，采购人或采购代理机构按供应商预留的联系方式通知到供应商后，供应商应当在自接到采购人或采购代理机构通知后</w:t>
            </w:r>
            <w:r>
              <w:rPr>
                <w:rFonts w:hint="eastAsia" w:ascii="仿宋" w:hAnsi="仿宋" w:eastAsia="仿宋" w:cs="仿宋"/>
                <w:b/>
                <w:bCs/>
                <w:color w:val="auto"/>
              </w:rPr>
              <w:t>30分钟内</w:t>
            </w:r>
            <w:r>
              <w:rPr>
                <w:rFonts w:hint="eastAsia" w:ascii="仿宋" w:hAnsi="仿宋" w:eastAsia="仿宋" w:cs="仿宋"/>
                <w:color w:val="auto"/>
              </w:rPr>
              <w:t>到达评审现场接受</w:t>
            </w:r>
            <w:r>
              <w:rPr>
                <w:rFonts w:hint="eastAsia" w:ascii="仿宋" w:hAnsi="仿宋" w:eastAsia="仿宋" w:cs="仿宋"/>
                <w:color w:val="auto"/>
                <w:lang w:eastAsia="zh-CN"/>
              </w:rPr>
              <w:t>谈判</w:t>
            </w:r>
            <w:r>
              <w:rPr>
                <w:rFonts w:hint="eastAsia" w:ascii="仿宋" w:hAnsi="仿宋" w:eastAsia="仿宋" w:cs="仿宋"/>
                <w:color w:val="auto"/>
              </w:rPr>
              <w:t>或答疑、澄清，供应商未按此规定时间要求到达现场</w:t>
            </w:r>
            <w:r>
              <w:rPr>
                <w:rFonts w:hint="eastAsia" w:ascii="仿宋" w:hAnsi="仿宋" w:eastAsia="仿宋" w:cs="仿宋"/>
                <w:color w:val="auto"/>
                <w:lang w:eastAsia="zh-CN"/>
              </w:rPr>
              <w:t>谈判</w:t>
            </w:r>
            <w:r>
              <w:rPr>
                <w:rFonts w:hint="eastAsia" w:ascii="仿宋" w:hAnsi="仿宋" w:eastAsia="仿宋" w:cs="仿宋"/>
                <w:color w:val="auto"/>
              </w:rPr>
              <w:t>或答疑、澄清的，视为放弃（或拒绝）</w:t>
            </w:r>
            <w:r>
              <w:rPr>
                <w:rFonts w:hint="eastAsia" w:ascii="仿宋" w:hAnsi="仿宋" w:eastAsia="仿宋" w:cs="仿宋"/>
                <w:color w:val="auto"/>
                <w:lang w:eastAsia="zh-CN"/>
              </w:rPr>
              <w:t>谈判</w:t>
            </w:r>
            <w:r>
              <w:rPr>
                <w:rFonts w:hint="eastAsia" w:ascii="仿宋" w:hAnsi="仿宋" w:eastAsia="仿宋" w:cs="仿宋"/>
                <w:color w:val="auto"/>
              </w:rPr>
              <w:t>或答疑、澄清权，评审委有权作出不利于供应商的评判；若供应商不在开标现场且按其预留的联系方式无法通知到的，视为放弃（或拒绝）</w:t>
            </w:r>
            <w:r>
              <w:rPr>
                <w:rFonts w:hint="eastAsia" w:ascii="仿宋" w:hAnsi="仿宋" w:eastAsia="仿宋" w:cs="仿宋"/>
                <w:color w:val="auto"/>
                <w:lang w:eastAsia="zh-CN"/>
              </w:rPr>
              <w:t>谈判</w:t>
            </w:r>
            <w:r>
              <w:rPr>
                <w:rFonts w:hint="eastAsia" w:ascii="仿宋" w:hAnsi="仿宋" w:eastAsia="仿宋" w:cs="仿宋"/>
                <w:color w:val="auto"/>
              </w:rPr>
              <w:t>或答疑、澄清权，评审委有权作出不利于供应商的评判，不利后果由供应商自行承担。</w:t>
            </w:r>
          </w:p>
        </w:tc>
      </w:tr>
    </w:tbl>
    <w:p>
      <w:pPr>
        <w:spacing w:before="313" w:beforeLines="100" w:after="313" w:afterLines="100" w:line="240" w:lineRule="auto"/>
        <w:ind w:firstLine="301" w:firstLineChars="100"/>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二、总 则</w:t>
      </w:r>
    </w:p>
    <w:p>
      <w:pPr>
        <w:spacing w:line="360" w:lineRule="auto"/>
        <w:ind w:firstLine="482" w:firstLineChars="200"/>
        <w:rPr>
          <w:rFonts w:ascii="仿宋" w:hAnsi="仿宋" w:eastAsia="仿宋" w:cs="仿宋"/>
          <w:b/>
          <w:color w:val="auto"/>
          <w:sz w:val="24"/>
        </w:rPr>
      </w:pPr>
      <w:r>
        <w:rPr>
          <w:rFonts w:hint="eastAsia" w:ascii="仿宋" w:hAnsi="仿宋" w:eastAsia="仿宋" w:cs="仿宋"/>
          <w:b/>
          <w:bCs/>
          <w:color w:val="auto"/>
          <w:sz w:val="24"/>
          <w:lang w:val="en-US" w:eastAsia="zh-CN"/>
        </w:rPr>
        <w:t>1.</w:t>
      </w:r>
      <w:r>
        <w:rPr>
          <w:rFonts w:hint="eastAsia" w:ascii="仿宋" w:hAnsi="仿宋" w:eastAsia="仿宋" w:cs="仿宋"/>
          <w:b/>
          <w:color w:val="auto"/>
          <w:sz w:val="24"/>
        </w:rPr>
        <w:t>适用范围</w:t>
      </w:r>
    </w:p>
    <w:p>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rPr>
        <w:t>本竞争性谈判文件仅适用于本次采购项目。</w:t>
      </w:r>
    </w:p>
    <w:p>
      <w:pPr>
        <w:spacing w:line="360" w:lineRule="auto"/>
        <w:ind w:firstLine="480"/>
        <w:rPr>
          <w:color w:val="auto"/>
        </w:rPr>
      </w:pP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2.有关定义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2.1“采购人</w:t>
      </w:r>
      <w:r>
        <w:rPr>
          <w:rFonts w:hint="eastAsia" w:ascii="仿宋" w:hAnsi="仿宋" w:eastAsia="仿宋" w:cs="仿宋"/>
          <w:bCs/>
          <w:color w:val="auto"/>
          <w:sz w:val="24"/>
          <w:highlight w:val="none"/>
        </w:rPr>
        <w:t>”系指</w:t>
      </w:r>
      <w:r>
        <w:rPr>
          <w:rFonts w:hint="eastAsia" w:ascii="仿宋" w:hAnsi="仿宋" w:eastAsia="仿宋" w:cs="仿宋"/>
          <w:bCs/>
          <w:color w:val="auto"/>
          <w:sz w:val="24"/>
          <w:highlight w:val="none"/>
          <w:lang w:eastAsia="zh-CN"/>
        </w:rPr>
        <w:t>富顺县中医医院；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2.2“采购代理机构”系指四川久润招投标代理有限公司</w:t>
      </w:r>
      <w:r>
        <w:rPr>
          <w:rFonts w:hint="eastAsia" w:ascii="仿宋" w:hAnsi="仿宋" w:eastAsia="仿宋" w:cs="仿宋"/>
          <w:bCs/>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2.3“采购单位”系指“采购人”和“采购代理机构”的统称</w:t>
      </w:r>
      <w:r>
        <w:rPr>
          <w:rFonts w:hint="eastAsia" w:ascii="仿宋" w:hAnsi="仿宋" w:eastAsia="仿宋" w:cs="仿宋"/>
          <w:bCs/>
          <w:color w:val="auto"/>
          <w:sz w:val="24"/>
          <w:lang w:eastAsia="zh-CN"/>
        </w:rPr>
        <w:t>；</w:t>
      </w:r>
    </w:p>
    <w:p>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4“供应商”系指响应谈判，</w:t>
      </w:r>
      <w:r>
        <w:rPr>
          <w:rFonts w:hint="eastAsia" w:ascii="仿宋" w:eastAsia="仿宋" w:cs="仿宋"/>
          <w:bCs/>
          <w:color w:val="auto"/>
          <w:sz w:val="24"/>
        </w:rPr>
        <w:t>拟向采购人提供货物、工程或者服务的法人、其他组织或者自然人</w:t>
      </w:r>
      <w:r>
        <w:rPr>
          <w:rFonts w:hint="eastAsia" w:ascii="仿宋" w:hAnsi="仿宋" w:eastAsia="仿宋" w:cs="仿宋"/>
          <w:bCs/>
          <w:color w:val="auto"/>
          <w:sz w:val="24"/>
        </w:rPr>
        <w:t>。</w:t>
      </w:r>
    </w:p>
    <w:p>
      <w:pPr>
        <w:spacing w:line="360" w:lineRule="auto"/>
        <w:ind w:firstLine="480"/>
        <w:rPr>
          <w:rFonts w:hint="eastAsia" w:ascii="仿宋" w:hAnsi="仿宋" w:eastAsia="仿宋" w:cs="仿宋"/>
          <w:bCs/>
          <w:color w:val="auto"/>
          <w:sz w:val="24"/>
        </w:rPr>
      </w:pP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3</w:t>
      </w:r>
      <w:r>
        <w:rPr>
          <w:rFonts w:hint="eastAsia" w:ascii="仿宋" w:hAnsi="仿宋" w:eastAsia="仿宋" w:cs="仿宋"/>
          <w:b/>
          <w:color w:val="auto"/>
          <w:sz w:val="24"/>
          <w:lang w:val="en-US" w:eastAsia="zh-CN"/>
        </w:rPr>
        <w:t>.</w:t>
      </w:r>
      <w:r>
        <w:rPr>
          <w:rFonts w:hint="eastAsia" w:ascii="仿宋" w:hAnsi="仿宋" w:eastAsia="仿宋" w:cs="仿宋"/>
          <w:b/>
          <w:color w:val="auto"/>
          <w:sz w:val="24"/>
        </w:rPr>
        <w:t>合格的供应商（实质性要求）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合格的供应商应具备以下条件：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1</w:t>
      </w:r>
      <w:r>
        <w:rPr>
          <w:rFonts w:hint="eastAsia" w:ascii="仿宋" w:hAnsi="仿宋" w:eastAsia="仿宋" w:cs="仿宋"/>
          <w:bCs/>
          <w:color w:val="auto"/>
          <w:sz w:val="24"/>
          <w:lang w:eastAsia="zh-CN"/>
        </w:rPr>
        <w:t>）</w:t>
      </w:r>
      <w:r>
        <w:rPr>
          <w:rFonts w:hint="eastAsia" w:ascii="仿宋" w:hAnsi="仿宋" w:eastAsia="仿宋" w:cs="仿宋"/>
          <w:bCs/>
          <w:color w:val="auto"/>
          <w:sz w:val="24"/>
        </w:rPr>
        <w:t>遵守国家有关的法律和法规，符合本竞争性谈判文件规定的供应商资格条件；</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2</w:t>
      </w:r>
      <w:r>
        <w:rPr>
          <w:rFonts w:hint="eastAsia" w:ascii="仿宋" w:hAnsi="仿宋" w:eastAsia="仿宋" w:cs="仿宋"/>
          <w:bCs/>
          <w:color w:val="auto"/>
          <w:sz w:val="24"/>
          <w:lang w:eastAsia="zh-CN"/>
        </w:rPr>
        <w:t>）</w:t>
      </w:r>
      <w:r>
        <w:rPr>
          <w:rFonts w:hint="eastAsia" w:ascii="仿宋" w:hAnsi="仿宋" w:eastAsia="仿宋" w:cs="仿宋"/>
          <w:bCs/>
          <w:color w:val="auto"/>
          <w:sz w:val="24"/>
        </w:rPr>
        <w:t>不属于禁止参加本项目采购活动的供应商；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w:t>
      </w:r>
      <w:r>
        <w:rPr>
          <w:rFonts w:hint="eastAsia" w:ascii="仿宋" w:hAnsi="仿宋" w:eastAsia="仿宋" w:cs="仿宋"/>
          <w:bCs/>
          <w:color w:val="auto"/>
          <w:sz w:val="24"/>
        </w:rPr>
        <w:t>按照规定获取了竞争性谈判文件，属于实质性参加采购活动的供应商。</w:t>
      </w:r>
    </w:p>
    <w:p>
      <w:pPr>
        <w:spacing w:line="360" w:lineRule="auto"/>
        <w:ind w:firstLine="482" w:firstLineChars="200"/>
        <w:rPr>
          <w:rFonts w:hint="eastAsia" w:ascii="仿宋" w:hAnsi="仿宋" w:eastAsia="仿宋" w:cs="仿宋"/>
          <w:b/>
          <w:color w:val="auto"/>
          <w:sz w:val="24"/>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4</w:t>
      </w:r>
      <w:r>
        <w:rPr>
          <w:rFonts w:hint="eastAsia" w:ascii="仿宋" w:hAnsi="仿宋" w:eastAsia="仿宋" w:cs="仿宋"/>
          <w:b/>
          <w:color w:val="auto"/>
          <w:sz w:val="24"/>
          <w:lang w:val="en-US" w:eastAsia="zh-CN"/>
        </w:rPr>
        <w:t>.</w:t>
      </w:r>
      <w:r>
        <w:rPr>
          <w:rFonts w:hint="eastAsia" w:ascii="仿宋" w:hAnsi="仿宋" w:eastAsia="仿宋" w:cs="仿宋"/>
          <w:b/>
          <w:color w:val="auto"/>
          <w:sz w:val="24"/>
        </w:rPr>
        <w:t>谈判费用（实质性要求）</w:t>
      </w:r>
    </w:p>
    <w:p>
      <w:pPr>
        <w:spacing w:line="360" w:lineRule="auto"/>
        <w:ind w:firstLine="488"/>
        <w:rPr>
          <w:rFonts w:hint="eastAsia" w:ascii="仿宋" w:hAnsi="仿宋" w:eastAsia="仿宋" w:cs="仿宋"/>
          <w:bCs/>
          <w:color w:val="auto"/>
          <w:sz w:val="24"/>
        </w:rPr>
      </w:pPr>
      <w:r>
        <w:rPr>
          <w:rFonts w:hint="eastAsia" w:ascii="仿宋" w:hAnsi="仿宋" w:eastAsia="仿宋" w:cs="仿宋"/>
          <w:bCs/>
          <w:color w:val="auto"/>
          <w:sz w:val="24"/>
        </w:rPr>
        <w:t>供应商应自行承担准备和参加谈判的全部费用。不论谈判的结果如何，采购单位均无义务和责任承担这些费用。</w:t>
      </w:r>
    </w:p>
    <w:p>
      <w:pPr>
        <w:spacing w:line="360" w:lineRule="auto"/>
        <w:ind w:firstLine="488"/>
        <w:rPr>
          <w:color w:val="auto"/>
        </w:rPr>
      </w:pPr>
    </w:p>
    <w:p>
      <w:pPr>
        <w:spacing w:line="360" w:lineRule="auto"/>
        <w:ind w:left="1" w:firstLine="482" w:firstLineChars="200"/>
        <w:rPr>
          <w:rFonts w:hint="eastAsia" w:ascii="仿宋" w:eastAsia="仿宋" w:cs="仿宋"/>
          <w:color w:val="auto"/>
          <w:sz w:val="24"/>
          <w:szCs w:val="24"/>
        </w:rPr>
      </w:pPr>
      <w:r>
        <w:rPr>
          <w:rFonts w:hint="eastAsia" w:ascii="仿宋" w:hAnsi="仿宋" w:eastAsia="仿宋" w:cs="仿宋"/>
          <w:b/>
          <w:bCs w:val="0"/>
          <w:color w:val="auto"/>
          <w:sz w:val="24"/>
          <w:lang w:val="en-US" w:eastAsia="zh-CN"/>
        </w:rPr>
        <w:t>5.</w:t>
      </w:r>
      <w:r>
        <w:rPr>
          <w:rFonts w:hint="eastAsia" w:ascii="仿宋" w:hAnsi="仿宋" w:eastAsia="仿宋" w:cs="仿宋"/>
          <w:b/>
          <w:color w:val="auto"/>
          <w:sz w:val="24"/>
          <w:szCs w:val="24"/>
        </w:rPr>
        <w:t>回避（实质性要求）</w:t>
      </w:r>
    </w:p>
    <w:p>
      <w:pPr>
        <w:pStyle w:val="88"/>
        <w:spacing w:line="360" w:lineRule="auto"/>
        <w:ind w:left="1" w:firstLine="480" w:firstLineChars="200"/>
        <w:rPr>
          <w:rFonts w:ascii="仿宋" w:eastAsia="仿宋" w:cs="Times New Roman"/>
          <w:color w:val="auto"/>
          <w:sz w:val="24"/>
          <w:szCs w:val="24"/>
        </w:rPr>
      </w:pPr>
      <w:r>
        <w:rPr>
          <w:rFonts w:hint="eastAsia" w:ascii="仿宋" w:eastAsia="仿宋" w:cs="仿宋"/>
          <w:color w:val="auto"/>
          <w:sz w:val="24"/>
          <w:szCs w:val="24"/>
          <w:lang w:val="en-US" w:eastAsia="zh-CN"/>
        </w:rPr>
        <w:t>5.1</w:t>
      </w:r>
      <w:r>
        <w:rPr>
          <w:rFonts w:hint="eastAsia" w:ascii="仿宋" w:eastAsia="仿宋" w:cs="仿宋"/>
          <w:color w:val="auto"/>
          <w:sz w:val="24"/>
          <w:szCs w:val="24"/>
        </w:rPr>
        <w:t>采购活动中，采购人员及相关人员与供应商有下列利害关系之一的，应当回避：</w:t>
      </w:r>
    </w:p>
    <w:p>
      <w:pPr>
        <w:pStyle w:val="88"/>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（1）</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年内与供应商存在劳动关系；</w:t>
      </w:r>
    </w:p>
    <w:p>
      <w:pPr>
        <w:pStyle w:val="88"/>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（2）</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年内担任供应商的董事、监事；</w:t>
      </w:r>
    </w:p>
    <w:p>
      <w:pPr>
        <w:pStyle w:val="88"/>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（3）</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年内是供应商的控股股东或者实际控制人；</w:t>
      </w:r>
    </w:p>
    <w:p>
      <w:pPr>
        <w:pStyle w:val="88"/>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（4）</w:t>
      </w:r>
      <w:r>
        <w:rPr>
          <w:rFonts w:hint="eastAsia" w:ascii="仿宋" w:eastAsia="仿宋" w:cs="仿宋"/>
          <w:color w:val="auto"/>
          <w:sz w:val="24"/>
          <w:szCs w:val="24"/>
        </w:rPr>
        <w:t>与供应商的法定代表人或者负责人有夫妻、直系血亲、三代以内旁系血亲或者近姻亲关系；</w:t>
      </w:r>
    </w:p>
    <w:p>
      <w:pPr>
        <w:pStyle w:val="88"/>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（5）</w:t>
      </w:r>
      <w:r>
        <w:rPr>
          <w:rFonts w:hint="eastAsia" w:ascii="仿宋" w:eastAsia="仿宋" w:cs="仿宋"/>
          <w:color w:val="auto"/>
          <w:sz w:val="24"/>
          <w:szCs w:val="24"/>
        </w:rPr>
        <w:t>与供应商有其他可能影响采购活动公平、公正进行的关系。</w:t>
      </w:r>
    </w:p>
    <w:p>
      <w:pPr>
        <w:pStyle w:val="88"/>
        <w:spacing w:line="360" w:lineRule="auto"/>
        <w:ind w:left="1" w:firstLine="480" w:firstLineChars="200"/>
        <w:rPr>
          <w:rFonts w:ascii="仿宋" w:eastAsia="仿宋" w:cs="Times New Roman"/>
          <w:color w:val="auto"/>
          <w:sz w:val="24"/>
          <w:szCs w:val="24"/>
        </w:rPr>
      </w:pPr>
      <w:r>
        <w:rPr>
          <w:rFonts w:hint="eastAsia" w:ascii="仿宋" w:eastAsia="仿宋" w:cs="仿宋"/>
          <w:color w:val="auto"/>
          <w:sz w:val="24"/>
          <w:szCs w:val="24"/>
          <w:lang w:val="en-US" w:eastAsia="zh-CN"/>
        </w:rPr>
        <w:t>5.2</w:t>
      </w:r>
      <w:r>
        <w:rPr>
          <w:rFonts w:hint="eastAsia" w:ascii="仿宋" w:eastAsia="仿宋" w:cs="仿宋"/>
          <w:color w:val="auto"/>
          <w:sz w:val="24"/>
          <w:szCs w:val="24"/>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w:t>
      </w:r>
      <w:r>
        <w:rPr>
          <w:rFonts w:hint="eastAsia" w:ascii="仿宋" w:eastAsia="仿宋" w:cs="仿宋"/>
          <w:color w:val="auto"/>
          <w:sz w:val="24"/>
          <w:szCs w:val="24"/>
          <w:lang w:eastAsia="zh-CN"/>
        </w:rPr>
        <w:t>谈判</w:t>
      </w:r>
      <w:r>
        <w:rPr>
          <w:rFonts w:hint="eastAsia" w:ascii="仿宋" w:eastAsia="仿宋" w:cs="仿宋"/>
          <w:color w:val="auto"/>
          <w:sz w:val="24"/>
          <w:szCs w:val="24"/>
        </w:rPr>
        <w:t>小组成员。</w:t>
      </w:r>
    </w:p>
    <w:p>
      <w:pPr>
        <w:spacing w:line="360" w:lineRule="auto"/>
        <w:ind w:firstLine="480" w:firstLineChars="200"/>
        <w:outlineLvl w:val="9"/>
        <w:rPr>
          <w:rFonts w:ascii="仿宋" w:hAnsi="仿宋" w:eastAsia="仿宋" w:cs="仿宋"/>
          <w:b/>
          <w:color w:val="auto"/>
          <w:sz w:val="24"/>
        </w:rPr>
      </w:pPr>
      <w:r>
        <w:rPr>
          <w:rFonts w:hint="eastAsia" w:ascii="仿宋" w:eastAsia="仿宋" w:cs="仿宋"/>
          <w:color w:val="auto"/>
          <w:sz w:val="24"/>
          <w:szCs w:val="24"/>
          <w:lang w:val="en-US" w:eastAsia="zh-CN"/>
        </w:rPr>
        <w:t>5.3</w:t>
      </w:r>
      <w:r>
        <w:rPr>
          <w:rFonts w:hint="eastAsia" w:ascii="仿宋" w:eastAsia="仿宋" w:cs="仿宋"/>
          <w:color w:val="auto"/>
          <w:sz w:val="24"/>
          <w:szCs w:val="24"/>
        </w:rPr>
        <w:t>供应商认为采购人员及相关人员与其他供应商有利害关系的，可以向采购代理机构书面提出回避申请，并说明理由。采购代理机构将及时询问被申请回避人员，有利害关系的被申请回避人员应当回避。</w:t>
      </w:r>
    </w:p>
    <w:p>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三、竞争性谈判文件</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lang w:val="en-US" w:eastAsia="zh-CN"/>
        </w:rPr>
        <w:t>6.</w:t>
      </w:r>
      <w:r>
        <w:rPr>
          <w:rFonts w:hint="eastAsia" w:ascii="仿宋" w:hAnsi="仿宋" w:eastAsia="仿宋" w:cs="仿宋"/>
          <w:b/>
          <w:color w:val="auto"/>
          <w:sz w:val="24"/>
        </w:rPr>
        <w:t>竞争性谈判文件的构成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1竞争性谈判文件是供应商准备响应文件和参加谈判采购的依据，同时也是评审的重要依据。竞争性谈判文件用以阐明采购项目所需的资格、技术、服务及报价等要求、采购程序、有关规定和注意事项以及合同主要条款等。本竞争性谈判文件包括以下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（1）</w:t>
      </w:r>
      <w:r>
        <w:rPr>
          <w:rFonts w:hint="eastAsia" w:ascii="仿宋" w:eastAsia="仿宋" w:cs="仿宋"/>
          <w:bCs/>
          <w:color w:val="auto"/>
          <w:sz w:val="24"/>
        </w:rPr>
        <w:t>谈判邀请；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（2）</w:t>
      </w:r>
      <w:r>
        <w:rPr>
          <w:rFonts w:hint="eastAsia" w:ascii="仿宋" w:eastAsia="仿宋" w:cs="仿宋"/>
          <w:bCs/>
          <w:color w:val="auto"/>
          <w:sz w:val="24"/>
        </w:rPr>
        <w:t>供应商谈判须知；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（3）</w:t>
      </w:r>
      <w:r>
        <w:rPr>
          <w:rFonts w:hint="eastAsia" w:ascii="仿宋" w:eastAsia="仿宋" w:cs="仿宋"/>
          <w:bCs/>
          <w:color w:val="auto"/>
          <w:sz w:val="24"/>
        </w:rPr>
        <w:t>供应商的资格条件要求；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（4）</w:t>
      </w:r>
      <w:r>
        <w:rPr>
          <w:rFonts w:hint="eastAsia" w:ascii="仿宋" w:eastAsia="仿宋" w:cs="仿宋"/>
          <w:bCs/>
          <w:color w:val="auto"/>
          <w:sz w:val="24"/>
        </w:rPr>
        <w:t>供应商应当提供的资格证明材料；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（5）</w:t>
      </w:r>
      <w:r>
        <w:rPr>
          <w:rFonts w:hint="eastAsia" w:ascii="仿宋" w:eastAsia="仿宋" w:cs="仿宋"/>
          <w:bCs/>
          <w:color w:val="auto"/>
          <w:sz w:val="24"/>
        </w:rPr>
        <w:t>采购项目内容及商务要求；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（6）</w:t>
      </w:r>
      <w:r>
        <w:rPr>
          <w:rFonts w:hint="eastAsia" w:ascii="仿宋" w:eastAsia="仿宋" w:cs="仿宋"/>
          <w:bCs/>
          <w:color w:val="auto"/>
          <w:sz w:val="24"/>
        </w:rPr>
        <w:t>谈判内容、谈判过程中可能实质性变动的内容；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（7）</w:t>
      </w:r>
      <w:r>
        <w:rPr>
          <w:rFonts w:hint="eastAsia" w:ascii="仿宋" w:eastAsia="仿宋" w:cs="仿宋"/>
          <w:bCs/>
          <w:color w:val="auto"/>
          <w:sz w:val="24"/>
        </w:rPr>
        <w:t>响应文件主要格式要求；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（8）</w:t>
      </w:r>
      <w:r>
        <w:rPr>
          <w:rFonts w:hint="eastAsia" w:ascii="仿宋" w:eastAsia="仿宋" w:cs="仿宋"/>
          <w:bCs/>
          <w:color w:val="auto"/>
          <w:sz w:val="24"/>
        </w:rPr>
        <w:t>评审办法；</w:t>
      </w:r>
    </w:p>
    <w:p>
      <w:pPr>
        <w:spacing w:line="360" w:lineRule="auto"/>
        <w:ind w:firstLine="480" w:firstLineChars="200"/>
        <w:rPr>
          <w:rFonts w:ascii="仿宋" w:eastAsia="仿宋" w:cs="仿宋"/>
          <w:bCs/>
          <w:color w:val="auto"/>
          <w:sz w:val="24"/>
        </w:rPr>
      </w:pPr>
      <w:r>
        <w:rPr>
          <w:rFonts w:hint="eastAsia" w:ascii="仿宋" w:eastAsia="仿宋" w:cs="仿宋"/>
          <w:bCs/>
          <w:color w:val="auto"/>
          <w:sz w:val="24"/>
          <w:lang w:val="en-US" w:eastAsia="zh-CN"/>
        </w:rPr>
        <w:t>（9）</w:t>
      </w:r>
      <w:r>
        <w:rPr>
          <w:rFonts w:hint="eastAsia" w:ascii="仿宋" w:eastAsia="仿宋" w:cs="仿宋"/>
          <w:bCs/>
          <w:color w:val="auto"/>
          <w:sz w:val="24"/>
        </w:rPr>
        <w:t>采购合同（样例）；</w:t>
      </w:r>
    </w:p>
    <w:p>
      <w:pPr>
        <w:spacing w:line="360" w:lineRule="auto"/>
        <w:ind w:firstLine="480"/>
        <w:rPr>
          <w:rFonts w:ascii="仿宋" w:eastAsia="仿宋" w:cs="仿宋"/>
          <w:bCs/>
          <w:color w:val="auto"/>
          <w:sz w:val="24"/>
        </w:rPr>
      </w:pPr>
      <w:r>
        <w:rPr>
          <w:rFonts w:hint="eastAsia" w:ascii="仿宋" w:eastAsia="仿宋" w:cs="仿宋"/>
          <w:bCs/>
          <w:color w:val="auto"/>
          <w:sz w:val="24"/>
          <w:lang w:val="en-US" w:eastAsia="zh-CN"/>
        </w:rPr>
        <w:t>（10）</w:t>
      </w:r>
      <w:r>
        <w:rPr>
          <w:rFonts w:hint="eastAsia" w:ascii="仿宋" w:eastAsia="仿宋" w:cs="仿宋"/>
          <w:bCs/>
          <w:color w:val="auto"/>
          <w:sz w:val="24"/>
        </w:rPr>
        <w:t>附件。</w:t>
      </w:r>
    </w:p>
    <w:p>
      <w:pPr>
        <w:pStyle w:val="12"/>
        <w:spacing w:line="360" w:lineRule="auto"/>
        <w:ind w:firstLine="480" w:firstLineChars="200"/>
        <w:jc w:val="both"/>
        <w:rPr>
          <w:rFonts w:hint="eastAsia" w:ascii="仿宋" w:hAnsi="仿宋" w:eastAsia="仿宋" w:cs="仿宋"/>
          <w:bCs/>
          <w:color w:val="auto"/>
          <w:kern w:val="2"/>
          <w:sz w:val="24"/>
          <w:szCs w:val="24"/>
          <w:lang w:val="en-US" w:eastAsia="zh-CN" w:bidi="ar-SA"/>
        </w:rPr>
      </w:pPr>
      <w:r>
        <w:rPr>
          <w:rFonts w:hint="eastAsia" w:ascii="仿宋" w:hAnsi="仿宋" w:eastAsia="仿宋" w:cs="仿宋"/>
          <w:bCs/>
          <w:color w:val="auto"/>
          <w:kern w:val="2"/>
          <w:sz w:val="24"/>
          <w:szCs w:val="24"/>
          <w:lang w:val="en-US" w:eastAsia="zh-CN" w:bidi="ar-SA"/>
        </w:rPr>
        <w:t>6.2供应商应认真阅读和充分理解谈判文件中所有的事项、格式条款和规范要求。并保证所提供的全部资料的真实性和有效性，一经发现有虚假行为的，将取消其参加谈判或成交资格，并承担相应的法律责任。</w:t>
      </w:r>
    </w:p>
    <w:p>
      <w:pPr>
        <w:spacing w:line="360" w:lineRule="auto"/>
        <w:ind w:firstLine="486"/>
        <w:rPr>
          <w:rFonts w:hint="eastAsia"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3供应商应认真阅读和充分理解竞争性谈判文件中所有的事项、格式条款和规范要求。供应商没有对竞争性谈判文件全面做出实质性响应是供应商的风险。没有按照竞争性谈判文件要求作出实质性响应的响应文件将被视为无效响应。</w:t>
      </w:r>
    </w:p>
    <w:p>
      <w:pPr>
        <w:spacing w:line="360" w:lineRule="auto"/>
        <w:ind w:firstLine="486"/>
        <w:rPr>
          <w:color w:val="auto"/>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7</w:t>
      </w:r>
      <w:r>
        <w:rPr>
          <w:rFonts w:hint="eastAsia" w:ascii="仿宋" w:hAnsi="仿宋" w:eastAsia="仿宋" w:cs="仿宋"/>
          <w:b/>
          <w:color w:val="auto"/>
          <w:sz w:val="24"/>
        </w:rPr>
        <w:t>.竞争性谈判文件的澄清和修改</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.1在响应截止时间前，采购单位无论出于何种原因，可以对竞争性谈判文件进行澄清或者修改；</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.2采购单位对已发出的竞争性谈判文件进行澄清或者修改，将在竞争性谈判文件要求的提交响应文件截止时间1日前进行，并以书面形式将澄清或者修改的内容通知所有购买了竞争性谈判文件的供应商；</w:t>
      </w:r>
    </w:p>
    <w:p>
      <w:pPr>
        <w:tabs>
          <w:tab w:val="left" w:pos="720"/>
        </w:tabs>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lang w:val="en-US" w:eastAsia="zh-CN"/>
        </w:rPr>
        <w:t>7.3</w:t>
      </w:r>
      <w:r>
        <w:rPr>
          <w:rFonts w:hint="eastAsia" w:ascii="仿宋" w:hAnsi="仿宋" w:eastAsia="仿宋" w:cs="仿宋"/>
          <w:color w:val="auto"/>
          <w:sz w:val="24"/>
        </w:rPr>
        <w:t>更正通知通过供应商报名时备注的电子邮箱发送至所有按照规定获得了谈判文件的供应商，供应商在收到相应更正通知后，以书面形式给予确认。如供应商未给予书面回复，则视为收到并认可该更正通知的内容。</w:t>
      </w:r>
    </w:p>
    <w:p>
      <w:pPr>
        <w:spacing w:line="360" w:lineRule="auto"/>
        <w:ind w:firstLine="420"/>
        <w:rPr>
          <w:rFonts w:ascii="仿宋" w:hAnsi="仿宋" w:eastAsia="仿宋" w:cs="仿宋"/>
          <w:bCs/>
          <w:color w:val="auto"/>
          <w:sz w:val="24"/>
        </w:rPr>
      </w:pPr>
      <w:r>
        <w:rPr>
          <w:rFonts w:hint="eastAsia" w:ascii="仿宋" w:hAnsi="仿宋" w:eastAsia="仿宋" w:cs="仿宋"/>
          <w:bCs/>
          <w:color w:val="auto"/>
          <w:sz w:val="24"/>
          <w:lang w:val="en-US" w:eastAsia="zh-CN"/>
        </w:rPr>
        <w:t>7.4</w:t>
      </w:r>
      <w:r>
        <w:rPr>
          <w:rFonts w:hint="eastAsia" w:ascii="仿宋" w:hAnsi="仿宋" w:eastAsia="仿宋" w:cs="仿宋"/>
          <w:bCs/>
          <w:color w:val="auto"/>
          <w:sz w:val="24"/>
        </w:rPr>
        <w:t>任何对竞争性谈判文件的澄清均为竞争性谈判文件的组成部分，并具有同等的法律效力；</w:t>
      </w:r>
    </w:p>
    <w:p>
      <w:pPr>
        <w:spacing w:line="360" w:lineRule="auto"/>
        <w:ind w:firstLine="482"/>
        <w:rPr>
          <w:rFonts w:hint="eastAsia" w:ascii="仿宋" w:hAnsi="仿宋" w:eastAsia="仿宋" w:cs="仿宋"/>
          <w:bCs/>
          <w:color w:val="auto"/>
          <w:sz w:val="24"/>
        </w:rPr>
      </w:pPr>
      <w:r>
        <w:rPr>
          <w:rFonts w:hint="eastAsia" w:ascii="仿宋" w:hAnsi="仿宋" w:eastAsia="仿宋" w:cs="仿宋"/>
          <w:bCs/>
          <w:color w:val="auto"/>
          <w:sz w:val="24"/>
          <w:lang w:val="en-US" w:eastAsia="zh-CN"/>
        </w:rPr>
        <w:t>7.5</w:t>
      </w:r>
      <w:r>
        <w:rPr>
          <w:rFonts w:hint="eastAsia" w:ascii="仿宋" w:hAnsi="仿宋" w:eastAsia="仿宋" w:cs="仿宋"/>
          <w:bCs/>
          <w:color w:val="auto"/>
          <w:sz w:val="24"/>
        </w:rPr>
        <w:t>供应商要求采购单位对竞争性谈判文件进行澄清的，均应在递交响应文件截止时间1日前按竞争性谈判文件中的联系方式，以书面形式通知采购代理机构。</w:t>
      </w:r>
    </w:p>
    <w:p>
      <w:pPr>
        <w:spacing w:line="360" w:lineRule="auto"/>
        <w:ind w:firstLine="482"/>
        <w:rPr>
          <w:color w:val="auto"/>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8.</w:t>
      </w:r>
      <w:r>
        <w:rPr>
          <w:rFonts w:hint="eastAsia" w:ascii="仿宋" w:hAnsi="仿宋" w:eastAsia="仿宋" w:cs="仿宋"/>
          <w:b/>
          <w:color w:val="auto"/>
          <w:sz w:val="24"/>
        </w:rPr>
        <w:t>答疑会和现场考察</w:t>
      </w:r>
    </w:p>
    <w:p>
      <w:pPr>
        <w:widowControl/>
        <w:spacing w:line="360" w:lineRule="auto"/>
        <w:ind w:firstLine="480" w:firstLineChars="200"/>
        <w:jc w:val="both"/>
        <w:rPr>
          <w:color w:val="auto"/>
          <w:sz w:val="24"/>
        </w:rPr>
      </w:pPr>
      <w:r>
        <w:rPr>
          <w:rFonts w:hint="eastAsia" w:ascii="仿宋" w:hAnsi="仿宋" w:eastAsia="仿宋" w:cs="仿宋"/>
          <w:bCs/>
          <w:color w:val="auto"/>
          <w:sz w:val="24"/>
          <w:lang w:val="en-US" w:eastAsia="zh-CN"/>
        </w:rPr>
        <w:t>8.1</w:t>
      </w:r>
      <w:r>
        <w:rPr>
          <w:rFonts w:ascii="仿宋" w:hAnsi="仿宋" w:eastAsia="仿宋" w:cs="仿宋"/>
          <w:color w:val="auto"/>
          <w:kern w:val="0"/>
          <w:sz w:val="24"/>
        </w:rPr>
        <w:t>根据采购项目和具体情况，采购人、采购代理机构认为有必要，可以在</w:t>
      </w:r>
      <w:r>
        <w:rPr>
          <w:rFonts w:hint="eastAsia" w:ascii="仿宋" w:hAnsi="仿宋" w:eastAsia="仿宋" w:cs="仿宋"/>
          <w:color w:val="auto"/>
          <w:kern w:val="0"/>
          <w:sz w:val="24"/>
        </w:rPr>
        <w:t>谈判</w:t>
      </w:r>
      <w:r>
        <w:rPr>
          <w:rFonts w:ascii="仿宋" w:hAnsi="仿宋" w:eastAsia="仿宋" w:cs="仿宋"/>
          <w:color w:val="auto"/>
          <w:kern w:val="0"/>
          <w:sz w:val="24"/>
        </w:rPr>
        <w:t>文件提</w:t>
      </w:r>
      <w:r>
        <w:rPr>
          <w:rFonts w:hint="eastAsia" w:ascii="仿宋" w:hAnsi="仿宋" w:eastAsia="仿宋" w:cs="仿宋"/>
          <w:color w:val="auto"/>
          <w:kern w:val="0"/>
          <w:sz w:val="24"/>
        </w:rPr>
        <w:t>供期限截止后响应文件提交截止前，组织已获取谈判文件的潜在供应商现场考察或者召开答疑会。</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8.2</w:t>
      </w:r>
      <w:r>
        <w:rPr>
          <w:rFonts w:hint="eastAsia" w:ascii="仿宋" w:hAnsi="仿宋" w:eastAsia="仿宋" w:cs="仿宋"/>
          <w:color w:val="auto"/>
          <w:sz w:val="24"/>
        </w:rPr>
        <w:t>采购人、采购代理机构组织现场考察或者召开答疑会的，将以书面形式通知所有按照规定获得了谈判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8.3</w:t>
      </w:r>
      <w:r>
        <w:rPr>
          <w:rFonts w:hint="eastAsia" w:ascii="仿宋" w:hAnsi="仿宋" w:eastAsia="仿宋" w:cs="仿宋"/>
          <w:bCs/>
          <w:color w:val="auto"/>
          <w:sz w:val="24"/>
        </w:rPr>
        <w:t>供应商考察现场</w:t>
      </w:r>
      <w:r>
        <w:rPr>
          <w:rFonts w:hint="eastAsia" w:ascii="仿宋" w:hAnsi="仿宋" w:eastAsia="仿宋" w:cs="仿宋"/>
          <w:color w:val="auto"/>
          <w:sz w:val="24"/>
        </w:rPr>
        <w:t>或者参加答疑会</w:t>
      </w:r>
      <w:r>
        <w:rPr>
          <w:rFonts w:hint="eastAsia" w:ascii="仿宋" w:hAnsi="仿宋" w:eastAsia="仿宋" w:cs="仿宋"/>
          <w:bCs/>
          <w:color w:val="auto"/>
          <w:sz w:val="24"/>
        </w:rPr>
        <w:t>所发生的一切费用由供应商自己承担。</w:t>
      </w:r>
    </w:p>
    <w:p>
      <w:pPr>
        <w:spacing w:line="360" w:lineRule="auto"/>
        <w:ind w:firstLine="480" w:firstLineChars="200"/>
        <w:jc w:val="both"/>
        <w:rPr>
          <w:rFonts w:hint="eastAsia" w:ascii="仿宋" w:hAnsi="仿宋" w:eastAsia="仿宋" w:cs="仿宋"/>
          <w:bCs/>
          <w:color w:val="auto"/>
          <w:sz w:val="24"/>
        </w:rPr>
      </w:pPr>
      <w:r>
        <w:rPr>
          <w:rFonts w:hint="eastAsia" w:ascii="仿宋" w:hAnsi="仿宋" w:eastAsia="仿宋" w:cs="仿宋"/>
          <w:color w:val="auto"/>
          <w:sz w:val="24"/>
          <w:lang w:val="en-US" w:eastAsia="zh-CN"/>
        </w:rPr>
        <w:t>8.4</w:t>
      </w:r>
      <w:r>
        <w:rPr>
          <w:rFonts w:hint="eastAsia" w:ascii="仿宋" w:hAnsi="仿宋" w:eastAsia="仿宋" w:cs="仿宋"/>
          <w:color w:val="auto"/>
          <w:sz w:val="24"/>
        </w:rPr>
        <w:t>本项目不组织现场考察和召开答疑会。</w:t>
      </w:r>
      <w:r>
        <w:rPr>
          <w:rFonts w:hint="eastAsia" w:ascii="仿宋" w:hAnsi="仿宋" w:eastAsia="仿宋" w:cs="仿宋"/>
          <w:bCs/>
          <w:color w:val="auto"/>
          <w:sz w:val="24"/>
        </w:rPr>
        <w:t>供应商认为有必要，可自行前往项目地点进行现场考察。</w:t>
      </w:r>
    </w:p>
    <w:p>
      <w:pPr>
        <w:keepNext w:val="0"/>
        <w:keepLines w:val="0"/>
        <w:pageBreakBefore w:val="0"/>
        <w:widowControl/>
        <w:kinsoku/>
        <w:wordWrap/>
        <w:overflowPunct/>
        <w:topLinePunct w:val="0"/>
        <w:autoSpaceDE/>
        <w:autoSpaceDN/>
        <w:bidi w:val="0"/>
        <w:adjustRightInd/>
        <w:snapToGrid/>
        <w:spacing w:before="313" w:beforeLines="100" w:after="313" w:afterLines="100" w:line="360" w:lineRule="auto"/>
        <w:jc w:val="center"/>
        <w:textAlignment w:val="auto"/>
        <w:outlineLvl w:val="1"/>
        <w:rPr>
          <w:rFonts w:ascii="仿宋" w:hAnsi="仿宋" w:eastAsia="仿宋" w:cs="仿宋"/>
          <w:b/>
          <w:bCs/>
          <w:color w:val="auto"/>
          <w:sz w:val="24"/>
        </w:rPr>
      </w:pPr>
      <w:r>
        <w:rPr>
          <w:rFonts w:hint="eastAsia" w:ascii="仿宋" w:hAnsi="仿宋" w:eastAsia="仿宋" w:cs="仿宋"/>
          <w:b/>
          <w:color w:val="auto"/>
          <w:sz w:val="30"/>
          <w:szCs w:val="30"/>
        </w:rPr>
        <w:t>四、响应文件</w:t>
      </w:r>
    </w:p>
    <w:p>
      <w:pPr>
        <w:widowControl/>
        <w:spacing w:line="360" w:lineRule="auto"/>
        <w:ind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9.</w:t>
      </w:r>
      <w:r>
        <w:rPr>
          <w:rFonts w:hint="eastAsia" w:ascii="仿宋" w:hAnsi="仿宋" w:eastAsia="仿宋" w:cs="仿宋"/>
          <w:b/>
          <w:bCs/>
          <w:color w:val="auto"/>
          <w:sz w:val="24"/>
        </w:rPr>
        <w:t>响应文件须知</w:t>
      </w:r>
    </w:p>
    <w:p>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val="en-US" w:eastAsia="zh-CN"/>
        </w:rPr>
        <w:t>9.1</w:t>
      </w:r>
      <w:r>
        <w:rPr>
          <w:rFonts w:hint="eastAsia" w:ascii="仿宋" w:hAnsi="仿宋" w:eastAsia="仿宋" w:cs="仿宋"/>
          <w:b/>
          <w:bCs/>
          <w:color w:val="auto"/>
          <w:sz w:val="24"/>
        </w:rPr>
        <w:t>响应文件的语言（实质性要求）</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w:t>
      </w: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供应商提交的响应文件以及供应商与采购单位就有关参加采购的所有来往书面文件均须使用中文。响应文件中如附有外文资料，必须逐一对应翻译成中文并加盖供应商公章后附在相关外文资料后面，否则，所提供的外文资料将可能被视为无效材料。（说明：供应商的法定代表人为外籍人士的，法定代表人的签字和护照除外。）</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9</w:t>
      </w:r>
      <w:r>
        <w:rPr>
          <w:rFonts w:hint="eastAsia" w:ascii="仿宋" w:hAnsi="仿宋" w:eastAsia="仿宋" w:cs="仿宋"/>
          <w:color w:val="auto"/>
          <w:sz w:val="24"/>
        </w:rPr>
        <w:t>.</w:t>
      </w:r>
      <w:r>
        <w:rPr>
          <w:rFonts w:hint="eastAsia" w:ascii="仿宋" w:hAnsi="仿宋" w:eastAsia="仿宋" w:cs="仿宋"/>
          <w:color w:val="auto"/>
          <w:sz w:val="24"/>
          <w:lang w:val="en-US" w:eastAsia="zh-CN"/>
        </w:rPr>
        <w:t>1.</w:t>
      </w:r>
      <w:r>
        <w:rPr>
          <w:rFonts w:hint="eastAsia" w:ascii="仿宋" w:hAnsi="仿宋" w:eastAsia="仿宋" w:cs="仿宋"/>
          <w:color w:val="auto"/>
          <w:sz w:val="24"/>
        </w:rPr>
        <w:t>2翻译的中文资料与外文资料如果出现差异和矛盾时，以中文为准。涉嫌虚假响应的按照相关法律法规处理。</w:t>
      </w:r>
    </w:p>
    <w:p>
      <w:pPr>
        <w:spacing w:line="360" w:lineRule="auto"/>
        <w:ind w:firstLine="480" w:firstLineChars="200"/>
        <w:rPr>
          <w:rFonts w:ascii="仿宋" w:eastAsia="仿宋"/>
          <w:color w:val="auto"/>
          <w:sz w:val="24"/>
          <w:szCs w:val="24"/>
        </w:rPr>
      </w:pPr>
      <w:r>
        <w:rPr>
          <w:rFonts w:hint="eastAsia" w:ascii="仿宋" w:eastAsia="仿宋" w:cs="仿宋"/>
          <w:color w:val="auto"/>
          <w:sz w:val="24"/>
          <w:szCs w:val="24"/>
          <w:lang w:val="en-US" w:eastAsia="zh-CN"/>
        </w:rPr>
        <w:t>9</w:t>
      </w:r>
      <w:r>
        <w:rPr>
          <w:rFonts w:ascii="仿宋" w:eastAsia="仿宋" w:cs="仿宋"/>
          <w:color w:val="auto"/>
          <w:sz w:val="24"/>
          <w:szCs w:val="24"/>
        </w:rPr>
        <w:t>.</w:t>
      </w:r>
      <w:r>
        <w:rPr>
          <w:rFonts w:hint="eastAsia" w:ascii="仿宋" w:eastAsia="仿宋" w:cs="仿宋"/>
          <w:color w:val="auto"/>
          <w:sz w:val="24"/>
          <w:szCs w:val="24"/>
          <w:lang w:val="en-US" w:eastAsia="zh-CN"/>
        </w:rPr>
        <w:t>1.</w:t>
      </w:r>
      <w:r>
        <w:rPr>
          <w:rFonts w:ascii="仿宋" w:eastAsia="仿宋" w:cs="仿宋"/>
          <w:color w:val="auto"/>
          <w:sz w:val="24"/>
          <w:szCs w:val="24"/>
        </w:rPr>
        <w:t xml:space="preserve">3 </w:t>
      </w:r>
      <w:r>
        <w:rPr>
          <w:rFonts w:hint="eastAsia" w:ascii="仿宋" w:eastAsia="仿宋" w:cs="仿宋"/>
          <w:color w:val="auto"/>
          <w:sz w:val="24"/>
          <w:szCs w:val="24"/>
        </w:rPr>
        <w:t>如因未翻译而造成的响应文件无效风险，由供应商承担。</w:t>
      </w:r>
    </w:p>
    <w:p>
      <w:pPr>
        <w:pStyle w:val="12"/>
        <w:spacing w:line="360" w:lineRule="auto"/>
        <w:ind w:firstLine="480"/>
        <w:rPr>
          <w:color w:val="auto"/>
        </w:rPr>
      </w:pPr>
    </w:p>
    <w:p>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val="en-US" w:eastAsia="zh-CN"/>
        </w:rPr>
        <w:t>9.2</w:t>
      </w:r>
      <w:r>
        <w:rPr>
          <w:rFonts w:hint="eastAsia" w:ascii="仿宋" w:hAnsi="仿宋" w:eastAsia="仿宋" w:cs="仿宋"/>
          <w:b/>
          <w:bCs/>
          <w:color w:val="auto"/>
          <w:sz w:val="24"/>
        </w:rPr>
        <w:t>计量单位（实质性要求）</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rPr>
        <w:t>除在</w:t>
      </w:r>
      <w:r>
        <w:rPr>
          <w:rFonts w:hint="eastAsia" w:ascii="仿宋" w:hAnsi="仿宋" w:eastAsia="仿宋" w:cs="仿宋"/>
          <w:bCs/>
          <w:color w:val="auto"/>
          <w:sz w:val="24"/>
        </w:rPr>
        <w:t>谈判</w:t>
      </w:r>
      <w:r>
        <w:rPr>
          <w:rFonts w:hint="eastAsia" w:ascii="仿宋" w:hAnsi="仿宋" w:eastAsia="仿宋" w:cs="仿宋"/>
          <w:color w:val="auto"/>
          <w:sz w:val="24"/>
        </w:rPr>
        <w:t>文件的技术规格中另有规定外，</w:t>
      </w:r>
      <w:r>
        <w:rPr>
          <w:rFonts w:hint="eastAsia" w:ascii="仿宋" w:hAnsi="仿宋" w:eastAsia="仿宋" w:cs="仿宋"/>
          <w:bCs/>
          <w:color w:val="auto"/>
          <w:sz w:val="24"/>
        </w:rPr>
        <w:t>本次采购项目所有合同项下的响应均采用</w:t>
      </w:r>
      <w:r>
        <w:rPr>
          <w:rFonts w:hint="eastAsia" w:ascii="仿宋" w:hAnsi="仿宋" w:eastAsia="仿宋" w:cs="仿宋"/>
          <w:color w:val="auto"/>
          <w:sz w:val="24"/>
        </w:rPr>
        <w:t>中华人民共和国法定计量单位。</w:t>
      </w:r>
    </w:p>
    <w:p>
      <w:pPr>
        <w:widowControl/>
        <w:spacing w:line="360" w:lineRule="auto"/>
        <w:ind w:firstLine="480"/>
        <w:jc w:val="left"/>
        <w:rPr>
          <w:rFonts w:hint="eastAsia" w:ascii="仿宋" w:hAnsi="仿宋" w:eastAsia="仿宋" w:cs="仿宋"/>
          <w:b/>
          <w:bCs/>
          <w:color w:val="auto"/>
          <w:sz w:val="24"/>
        </w:rPr>
      </w:pPr>
    </w:p>
    <w:p>
      <w:pPr>
        <w:widowControl/>
        <w:spacing w:line="360" w:lineRule="auto"/>
        <w:ind w:firstLine="480"/>
        <w:jc w:val="left"/>
        <w:rPr>
          <w:rFonts w:ascii="仿宋" w:hAnsi="仿宋" w:eastAsia="仿宋" w:cs="仿宋"/>
          <w:color w:val="auto"/>
          <w:sz w:val="24"/>
        </w:rPr>
      </w:pPr>
      <w:r>
        <w:rPr>
          <w:rFonts w:hint="eastAsia" w:ascii="仿宋" w:hAnsi="仿宋" w:eastAsia="仿宋" w:cs="仿宋"/>
          <w:b/>
          <w:bCs/>
          <w:color w:val="auto"/>
          <w:sz w:val="24"/>
          <w:lang w:val="en-US" w:eastAsia="zh-CN"/>
        </w:rPr>
        <w:t>9.3</w:t>
      </w:r>
      <w:r>
        <w:rPr>
          <w:rFonts w:hint="eastAsia" w:ascii="仿宋" w:hAnsi="仿宋" w:eastAsia="仿宋" w:cs="仿宋"/>
          <w:b/>
          <w:bCs/>
          <w:color w:val="auto"/>
          <w:sz w:val="24"/>
        </w:rPr>
        <w:t>响应货币（实质性要求）</w:t>
      </w:r>
    </w:p>
    <w:p>
      <w:pPr>
        <w:widowControl/>
        <w:spacing w:line="360" w:lineRule="auto"/>
        <w:ind w:firstLine="480"/>
        <w:jc w:val="left"/>
        <w:rPr>
          <w:rFonts w:ascii="仿宋" w:hAnsi="仿宋" w:eastAsia="仿宋" w:cs="仿宋"/>
          <w:color w:val="auto"/>
          <w:sz w:val="24"/>
        </w:rPr>
      </w:pPr>
      <w:r>
        <w:rPr>
          <w:rFonts w:hint="eastAsia" w:ascii="仿宋" w:hAnsi="仿宋" w:eastAsia="仿宋" w:cs="仿宋"/>
          <w:color w:val="auto"/>
          <w:sz w:val="24"/>
        </w:rPr>
        <w:t>本次采购项目的响应计价货币均以人民币报价。</w:t>
      </w:r>
    </w:p>
    <w:p>
      <w:pPr>
        <w:widowControl/>
        <w:spacing w:line="360" w:lineRule="auto"/>
        <w:jc w:val="left"/>
        <w:rPr>
          <w:rFonts w:hint="eastAsia" w:ascii="仿宋" w:hAnsi="仿宋" w:eastAsia="仿宋" w:cs="仿宋"/>
          <w:color w:val="auto"/>
          <w:sz w:val="24"/>
        </w:rPr>
      </w:pPr>
    </w:p>
    <w:p>
      <w:pPr>
        <w:widowControl/>
        <w:spacing w:line="360" w:lineRule="auto"/>
        <w:ind w:firstLine="482" w:firstLineChars="200"/>
        <w:jc w:val="left"/>
        <w:rPr>
          <w:rFonts w:ascii="仿宋" w:hAnsi="仿宋" w:eastAsia="仿宋" w:cs="仿宋"/>
          <w:color w:val="auto"/>
          <w:sz w:val="24"/>
        </w:rPr>
      </w:pPr>
      <w:r>
        <w:rPr>
          <w:rFonts w:hint="eastAsia" w:ascii="仿宋" w:hAnsi="仿宋" w:eastAsia="仿宋" w:cs="仿宋"/>
          <w:b/>
          <w:bCs/>
          <w:color w:val="auto"/>
          <w:sz w:val="24"/>
          <w:lang w:val="en-US" w:eastAsia="zh-CN"/>
        </w:rPr>
        <w:t>9.4</w:t>
      </w:r>
      <w:r>
        <w:rPr>
          <w:rFonts w:hint="eastAsia" w:ascii="仿宋" w:hAnsi="仿宋" w:eastAsia="仿宋" w:cs="仿宋"/>
          <w:b/>
          <w:bCs/>
          <w:color w:val="auto"/>
          <w:sz w:val="24"/>
        </w:rPr>
        <w:t>知识产权（实质性要求）</w:t>
      </w:r>
    </w:p>
    <w:p>
      <w:pPr>
        <w:widowControl/>
        <w:spacing w:line="360" w:lineRule="auto"/>
        <w:ind w:firstLine="48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1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.2除非谈判文件特别规定，采购人享有本项目实施过程中产生的知识成果及知识产权。</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3供应商如欲在项目实施过程中采用自有知识成果，需在响应文件中声明，并提供相关知识产权证明文件。使用该知识成果后，供应商需提供开发接口和开发手册等技术文档，并承诺提供无限期技术支持，采购人享有永久使用权（含采购人委托第三方在该项目后续开发的使用权）。</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.4如采用供应商所不拥有的知识产权，则在响应报价中必须包括合法获取该知识产权的相关费用。</w:t>
      </w:r>
    </w:p>
    <w:p>
      <w:pPr>
        <w:widowControl/>
        <w:spacing w:line="360" w:lineRule="auto"/>
        <w:ind w:firstLine="480"/>
        <w:jc w:val="both"/>
        <w:rPr>
          <w:color w:val="auto"/>
        </w:rPr>
      </w:pPr>
    </w:p>
    <w:p>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lang w:val="en-US" w:eastAsia="zh-CN"/>
        </w:rPr>
        <w:t>9.5</w:t>
      </w:r>
      <w:r>
        <w:rPr>
          <w:rFonts w:hint="eastAsia" w:ascii="仿宋" w:hAnsi="仿宋" w:eastAsia="仿宋" w:cs="仿宋"/>
          <w:b/>
          <w:color w:val="auto"/>
          <w:sz w:val="24"/>
        </w:rPr>
        <w:t>响应有效期</w:t>
      </w:r>
      <w:r>
        <w:rPr>
          <w:rFonts w:hint="eastAsia" w:ascii="仿宋" w:hAnsi="仿宋" w:eastAsia="仿宋" w:cs="仿宋"/>
          <w:b/>
          <w:bCs/>
          <w:color w:val="auto"/>
          <w:sz w:val="24"/>
        </w:rPr>
        <w:t>（实质性要求）</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.1本项目响应有效期为递交响应文件截止之日起满</w:t>
      </w:r>
      <w:r>
        <w:rPr>
          <w:rFonts w:hint="eastAsia" w:ascii="仿宋" w:hAnsi="仿宋" w:eastAsia="仿宋" w:cs="仿宋"/>
          <w:b/>
          <w:bCs w:val="0"/>
          <w:color w:val="auto"/>
          <w:sz w:val="24"/>
        </w:rPr>
        <w:t>90</w:t>
      </w:r>
      <w:r>
        <w:rPr>
          <w:rFonts w:hint="eastAsia" w:ascii="仿宋" w:hAnsi="仿宋" w:eastAsia="仿宋" w:cs="仿宋"/>
          <w:bCs/>
          <w:color w:val="auto"/>
          <w:sz w:val="24"/>
        </w:rPr>
        <w:t>天。供应商响应文件中必须载明响应有效期，响应文件中载明的响应有效期可以长于竞争性谈判文件规定的期限，但不得短于竞争性谈判文件规定的期限。否则，其响应文件将作为无效响应处理。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2因不可抗力事件，采购人可于响应有效期届满之前与供应商协商延长响应有效期。供应商拒绝延长响应有效期的，不得再参与该项目后续采购活动，但由此给供应商造成的损失，采购人可以自主决定是否可以给予适当补偿。供应商同意延长响应有效期的，不能修改响应文件。</w:t>
      </w:r>
    </w:p>
    <w:p>
      <w:pPr>
        <w:widowControl/>
        <w:spacing w:line="360" w:lineRule="auto"/>
        <w:ind w:firstLine="480" w:firstLineChars="200"/>
        <w:jc w:val="both"/>
        <w:rPr>
          <w:rFonts w:hint="eastAsia"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3因采购人采购需求作出必要调整，采购人可于响应有效期届满之前与供应商协商延长响应有效期。供应商拒绝延长响应有效期的，不得再参与该项目后续采购活动，但由此给供应商造成的损失，采购人应当予以赔偿或者合理补偿。供应商同意延长响应有效期的，不能修改响应文件。</w:t>
      </w:r>
    </w:p>
    <w:p>
      <w:pPr>
        <w:widowControl/>
        <w:spacing w:line="360" w:lineRule="auto"/>
        <w:ind w:firstLine="420" w:firstLineChars="200"/>
        <w:jc w:val="both"/>
        <w:rPr>
          <w:color w:val="auto"/>
        </w:rPr>
      </w:pPr>
    </w:p>
    <w:p>
      <w:pPr>
        <w:widowControl/>
        <w:numPr>
          <w:ilvl w:val="-1"/>
          <w:numId w:val="0"/>
        </w:numPr>
        <w:spacing w:line="360" w:lineRule="auto"/>
        <w:ind w:firstLine="482" w:firstLineChars="200"/>
        <w:rPr>
          <w:color w:val="auto"/>
        </w:rPr>
      </w:pPr>
      <w:r>
        <w:rPr>
          <w:rFonts w:hint="eastAsia" w:ascii="仿宋" w:hAnsi="仿宋" w:eastAsia="仿宋" w:cs="仿宋"/>
          <w:b/>
          <w:color w:val="auto"/>
          <w:sz w:val="24"/>
          <w:lang w:val="en-US" w:eastAsia="zh-CN"/>
        </w:rPr>
        <w:t>10.</w:t>
      </w:r>
      <w:r>
        <w:rPr>
          <w:rFonts w:hint="eastAsia" w:ascii="仿宋" w:hAnsi="仿宋" w:eastAsia="仿宋" w:cs="仿宋"/>
          <w:b/>
          <w:color w:val="auto"/>
          <w:sz w:val="24"/>
        </w:rPr>
        <w:t xml:space="preserve">响应文件的组成 </w:t>
      </w:r>
    </w:p>
    <w:p>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参加谈判的供应商按照竞争性谈判文件的要求准备响应文件，响应文件分为资格性响应文件、其他响应文件、报价响应文件和响应文件电子文档四部分。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注：以下有格式表的按格式表要求提供，无格式表的格式自拟。</w:t>
      </w:r>
    </w:p>
    <w:p>
      <w:pPr>
        <w:spacing w:line="360" w:lineRule="auto"/>
        <w:ind w:firstLine="480"/>
        <w:rPr>
          <w:rFonts w:hint="eastAsia" w:ascii="仿宋" w:hAnsi="仿宋" w:eastAsia="仿宋" w:cs="仿宋"/>
          <w:b/>
          <w:color w:val="auto"/>
          <w:sz w:val="24"/>
        </w:rPr>
      </w:pPr>
      <w:r>
        <w:rPr>
          <w:rFonts w:hint="eastAsia" w:ascii="仿宋" w:hAnsi="仿宋" w:eastAsia="仿宋" w:cs="仿宋"/>
          <w:b/>
          <w:color w:val="auto"/>
          <w:sz w:val="24"/>
          <w:lang w:val="en-US" w:eastAsia="zh-CN"/>
        </w:rPr>
        <w:t>10.1</w:t>
      </w:r>
      <w:r>
        <w:rPr>
          <w:rFonts w:hint="eastAsia" w:ascii="仿宋" w:hAnsi="仿宋" w:eastAsia="仿宋" w:cs="仿宋"/>
          <w:b/>
          <w:color w:val="auto"/>
          <w:sz w:val="24"/>
        </w:rPr>
        <w:t>资格性响应文件</w:t>
      </w:r>
    </w:p>
    <w:p>
      <w:pPr>
        <w:spacing w:line="360" w:lineRule="auto"/>
        <w:ind w:firstLine="480"/>
        <w:rPr>
          <w:rFonts w:ascii="仿宋" w:hAnsi="仿宋" w:eastAsia="仿宋" w:cs="仿宋"/>
          <w:bCs/>
          <w:color w:val="auto"/>
          <w:sz w:val="24"/>
        </w:rPr>
      </w:pPr>
      <w:r>
        <w:rPr>
          <w:rFonts w:hint="eastAsia" w:ascii="仿宋" w:hAnsi="仿宋" w:eastAsia="仿宋" w:cs="仿宋"/>
          <w:bCs/>
          <w:color w:val="auto"/>
          <w:sz w:val="24"/>
          <w:lang w:eastAsia="zh-CN"/>
        </w:rPr>
        <w:t>资格证明文件（详见第四章）。</w:t>
      </w:r>
      <w:r>
        <w:rPr>
          <w:rFonts w:hint="eastAsia" w:ascii="仿宋" w:hAnsi="仿宋" w:eastAsia="仿宋" w:cs="仿宋"/>
          <w:b/>
          <w:bCs w:val="0"/>
          <w:color w:val="auto"/>
          <w:sz w:val="24"/>
          <w:lang w:eastAsia="zh-CN"/>
        </w:rPr>
        <w:t>(实质性要求）</w:t>
      </w:r>
    </w:p>
    <w:p>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lang w:val="en-US" w:eastAsia="zh-CN"/>
        </w:rPr>
        <w:t>10.2</w:t>
      </w:r>
      <w:r>
        <w:rPr>
          <w:rFonts w:hint="eastAsia" w:ascii="仿宋" w:hAnsi="仿宋" w:eastAsia="仿宋" w:cs="仿宋"/>
          <w:b/>
          <w:color w:val="auto"/>
          <w:sz w:val="24"/>
        </w:rPr>
        <w:t>其他响应文件</w:t>
      </w:r>
    </w:p>
    <w:p>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lang w:val="en-US" w:eastAsia="zh-CN"/>
        </w:rPr>
        <w:t>10.2.1</w:t>
      </w:r>
      <w:r>
        <w:rPr>
          <w:rFonts w:hint="eastAsia" w:ascii="仿宋" w:hAnsi="仿宋" w:eastAsia="仿宋" w:cs="仿宋"/>
          <w:bCs/>
          <w:color w:val="auto"/>
          <w:sz w:val="24"/>
        </w:rPr>
        <w:t>技术服务性响应部分</w:t>
      </w:r>
    </w:p>
    <w:p>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rPr>
        <w:t>供应商按照</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文件要求做出的技术应答，主要是针对</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项目的技术指标、</w:t>
      </w:r>
      <w:r>
        <w:rPr>
          <w:rFonts w:hint="eastAsia" w:ascii="仿宋" w:hAnsi="仿宋" w:eastAsia="仿宋" w:cs="仿宋"/>
          <w:bCs/>
          <w:color w:val="auto"/>
          <w:sz w:val="24"/>
          <w:lang w:eastAsia="zh-CN"/>
        </w:rPr>
        <w:t>参数、质量保证和服务要求做出的实质性响应和满足。供应商的技术服务响应包括但不限于下列内容：</w:t>
      </w:r>
    </w:p>
    <w:p>
      <w:pPr>
        <w:pStyle w:val="12"/>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000000"/>
          <w:sz w:val="24"/>
          <w:highlight w:val="none"/>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1</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提供所投产品的品牌、型号、配置，以及所投产品本身的主要技术指标和参数相关证明材料(如提供监测报告或产品使用说明书或用户手册等材料)；</w:t>
      </w:r>
    </w:p>
    <w:p>
      <w:pPr>
        <w:pStyle w:val="12"/>
        <w:keepLines w:val="0"/>
        <w:pageBreakBefore w:val="0"/>
        <w:kinsoku/>
        <w:overflowPunct/>
        <w:topLinePunct w:val="0"/>
        <w:autoSpaceDE/>
        <w:autoSpaceDN/>
        <w:bidi w:val="0"/>
        <w:spacing w:line="360" w:lineRule="auto"/>
        <w:ind w:left="0" w:leftChars="0" w:firstLine="480" w:firstLineChars="200"/>
        <w:rPr>
          <w:rFonts w:hint="eastAsia" w:ascii="仿宋" w:hAnsi="仿宋" w:eastAsia="仿宋" w:cs="仿宋"/>
          <w:bCs w:val="0"/>
          <w:color w:val="000000"/>
          <w:sz w:val="24"/>
          <w:highlight w:val="none"/>
          <w:lang w:eastAsia="zh-CN"/>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2</w:t>
      </w:r>
      <w:r>
        <w:rPr>
          <w:rFonts w:hint="eastAsia" w:ascii="仿宋" w:hAnsi="仿宋" w:eastAsia="仿宋" w:cs="仿宋"/>
          <w:bCs w:val="0"/>
          <w:color w:val="000000"/>
          <w:sz w:val="24"/>
          <w:highlight w:val="none"/>
          <w:lang w:eastAsia="zh-CN"/>
        </w:rPr>
        <w:t>）技术服务偏离表；</w:t>
      </w:r>
    </w:p>
    <w:p>
      <w:pPr>
        <w:pStyle w:val="12"/>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000000"/>
          <w:sz w:val="24"/>
          <w:highlight w:val="none"/>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3</w:t>
      </w:r>
      <w:r>
        <w:rPr>
          <w:rFonts w:hint="eastAsia" w:ascii="仿宋" w:hAnsi="仿宋" w:eastAsia="仿宋" w:cs="仿宋"/>
          <w:bCs w:val="0"/>
          <w:color w:val="000000"/>
          <w:sz w:val="24"/>
          <w:highlight w:val="none"/>
          <w:lang w:eastAsia="zh-CN"/>
        </w:rPr>
        <w:t>）商务服务应答表</w:t>
      </w:r>
      <w:r>
        <w:rPr>
          <w:rFonts w:hint="eastAsia" w:ascii="仿宋" w:hAnsi="仿宋" w:eastAsia="仿宋" w:cs="仿宋"/>
          <w:bCs w:val="0"/>
          <w:color w:val="000000"/>
          <w:sz w:val="24"/>
          <w:highlight w:val="none"/>
        </w:rPr>
        <w:t>；</w:t>
      </w:r>
    </w:p>
    <w:p>
      <w:pPr>
        <w:pStyle w:val="12"/>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000000"/>
          <w:sz w:val="24"/>
          <w:highlight w:val="none"/>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4</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拟派入本项目的主要实施人员情况表；</w:t>
      </w:r>
    </w:p>
    <w:p>
      <w:pPr>
        <w:pStyle w:val="12"/>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000000"/>
          <w:sz w:val="24"/>
          <w:highlight w:val="none"/>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5</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项目实施及售后服务方案；</w:t>
      </w:r>
    </w:p>
    <w:p>
      <w:pPr>
        <w:pStyle w:val="12"/>
        <w:keepLines w:val="0"/>
        <w:pageBreakBefore w:val="0"/>
        <w:kinsoku/>
        <w:overflowPunct/>
        <w:topLinePunct w:val="0"/>
        <w:autoSpaceDE/>
        <w:autoSpaceDN/>
        <w:bidi w:val="0"/>
        <w:spacing w:line="360" w:lineRule="auto"/>
        <w:ind w:left="0" w:leftChars="0" w:firstLine="480" w:firstLineChars="200"/>
        <w:rPr>
          <w:rFonts w:hint="eastAsia" w:ascii="仿宋" w:hAnsi="仿宋" w:eastAsia="仿宋" w:cs="仿宋"/>
          <w:bCs w:val="0"/>
          <w:color w:val="000000"/>
          <w:sz w:val="24"/>
          <w:highlight w:val="none"/>
          <w:lang w:eastAsia="zh-CN"/>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6</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售后服务相关资料</w:t>
      </w:r>
      <w:r>
        <w:rPr>
          <w:rFonts w:hint="eastAsia" w:ascii="仿宋" w:hAnsi="仿宋" w:eastAsia="仿宋" w:cs="仿宋"/>
          <w:bCs w:val="0"/>
          <w:color w:val="000000"/>
          <w:sz w:val="24"/>
          <w:highlight w:val="none"/>
          <w:lang w:eastAsia="zh-CN"/>
        </w:rPr>
        <w:t>；</w:t>
      </w:r>
    </w:p>
    <w:p>
      <w:pPr>
        <w:pStyle w:val="12"/>
        <w:keepLines w:val="0"/>
        <w:pageBreakBefore w:val="0"/>
        <w:kinsoku/>
        <w:overflowPunct/>
        <w:topLinePunct w:val="0"/>
        <w:autoSpaceDE/>
        <w:autoSpaceDN/>
        <w:bidi w:val="0"/>
        <w:spacing w:line="360" w:lineRule="auto"/>
        <w:ind w:left="0" w:leftChars="0" w:firstLine="480" w:firstLineChars="200"/>
        <w:rPr>
          <w:rFonts w:hint="eastAsia" w:ascii="仿宋" w:hAnsi="仿宋" w:eastAsia="仿宋" w:cs="仿宋"/>
          <w:bCs w:val="0"/>
          <w:color w:val="000000"/>
          <w:sz w:val="24"/>
          <w:highlight w:val="none"/>
          <w:lang w:eastAsia="zh-CN"/>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7</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项目验收标准和验收方法</w:t>
      </w:r>
      <w:r>
        <w:rPr>
          <w:rFonts w:hint="eastAsia" w:ascii="仿宋" w:hAnsi="仿宋" w:eastAsia="仿宋" w:cs="仿宋"/>
          <w:bCs w:val="0"/>
          <w:color w:val="000000"/>
          <w:sz w:val="24"/>
          <w:highlight w:val="none"/>
          <w:lang w:eastAsia="zh-CN"/>
        </w:rPr>
        <w:t>；</w:t>
      </w:r>
    </w:p>
    <w:p>
      <w:pPr>
        <w:pStyle w:val="1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val="0"/>
          <w:color w:val="000000"/>
          <w:sz w:val="24"/>
          <w:highlight w:val="none"/>
        </w:rPr>
      </w:pPr>
      <w:r>
        <w:rPr>
          <w:rFonts w:hint="eastAsia" w:ascii="仿宋" w:hAnsi="仿宋" w:eastAsia="仿宋" w:cs="仿宋"/>
          <w:b w:val="0"/>
          <w:bCs/>
          <w:color w:val="000000"/>
          <w:sz w:val="24"/>
          <w:highlight w:val="none"/>
          <w:lang w:val="en-US" w:eastAsia="zh-CN"/>
        </w:rPr>
        <w:t>（8）其他有利于采购人或者供应商认为需要提供的文件和资料。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eastAsia="zh-CN"/>
        </w:rPr>
      </w:pPr>
      <w:r>
        <w:rPr>
          <w:rFonts w:hint="eastAsia" w:ascii="仿宋" w:hAnsi="仿宋" w:eastAsia="仿宋" w:cs="仿宋"/>
          <w:b w:val="0"/>
          <w:bCs/>
          <w:color w:val="000000"/>
          <w:sz w:val="24"/>
          <w:highlight w:val="none"/>
          <w:lang w:val="en-US" w:eastAsia="zh-CN"/>
        </w:rPr>
        <w:t>10.2.2</w:t>
      </w:r>
      <w:r>
        <w:rPr>
          <w:rFonts w:hint="eastAsia" w:ascii="仿宋" w:hAnsi="仿宋" w:eastAsia="仿宋" w:cs="仿宋"/>
          <w:b w:val="0"/>
          <w:bCs/>
          <w:color w:val="000000"/>
          <w:sz w:val="24"/>
          <w:highlight w:val="none"/>
        </w:rPr>
        <w:t xml:space="preserve"> </w:t>
      </w:r>
      <w:r>
        <w:rPr>
          <w:rFonts w:hint="eastAsia" w:ascii="仿宋" w:hAnsi="仿宋" w:eastAsia="仿宋" w:cs="仿宋"/>
          <w:b w:val="0"/>
          <w:bCs/>
          <w:color w:val="000000"/>
          <w:sz w:val="24"/>
          <w:highlight w:val="none"/>
          <w:lang w:eastAsia="zh-CN"/>
        </w:rPr>
        <w:t>其他要求部分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val="en-US" w:eastAsia="zh-CN"/>
        </w:rPr>
      </w:pPr>
      <w:r>
        <w:rPr>
          <w:rFonts w:hint="eastAsia" w:ascii="仿宋" w:hAnsi="仿宋" w:eastAsia="仿宋" w:cs="仿宋"/>
          <w:b w:val="0"/>
          <w:bCs/>
          <w:color w:val="000000"/>
          <w:sz w:val="24"/>
          <w:highlight w:val="none"/>
          <w:lang w:val="en-US" w:eastAsia="zh-CN"/>
        </w:rPr>
        <w:t>（1）供应商简介；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val="en-US" w:eastAsia="zh-CN"/>
        </w:rPr>
      </w:pPr>
      <w:r>
        <w:rPr>
          <w:rFonts w:hint="eastAsia" w:ascii="仿宋" w:hAnsi="仿宋" w:eastAsia="仿宋" w:cs="仿宋"/>
          <w:b w:val="0"/>
          <w:bCs/>
          <w:color w:val="000000"/>
          <w:sz w:val="24"/>
          <w:highlight w:val="none"/>
          <w:lang w:val="en-US" w:eastAsia="zh-CN"/>
        </w:rPr>
        <w:t>（2）供应商基本情况表；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val="en-US" w:eastAsia="zh-CN"/>
        </w:rPr>
      </w:pPr>
      <w:r>
        <w:rPr>
          <w:rFonts w:hint="eastAsia" w:ascii="仿宋" w:hAnsi="仿宋" w:eastAsia="仿宋" w:cs="仿宋"/>
          <w:b w:val="0"/>
          <w:bCs/>
          <w:color w:val="000000"/>
          <w:sz w:val="24"/>
          <w:highlight w:val="none"/>
          <w:lang w:val="en-US" w:eastAsia="zh-CN"/>
        </w:rPr>
        <w:t>（3）</w:t>
      </w:r>
      <w:r>
        <w:rPr>
          <w:rFonts w:hint="eastAsia" w:ascii="仿宋" w:hAnsi="仿宋" w:eastAsia="仿宋" w:cs="仿宋"/>
          <w:bCs/>
          <w:color w:val="auto"/>
          <w:sz w:val="24"/>
          <w:lang w:eastAsia="zh-CN"/>
        </w:rPr>
        <w:t>首轮报价一览表；</w:t>
      </w:r>
      <w:r>
        <w:rPr>
          <w:rFonts w:hint="eastAsia" w:ascii="仿宋" w:hAnsi="仿宋" w:eastAsia="仿宋" w:cs="仿宋"/>
          <w:b/>
          <w:color w:val="auto"/>
          <w:sz w:val="24"/>
        </w:rPr>
        <w:t>(实质性要求）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val="en-US" w:eastAsia="zh-CN"/>
        </w:rPr>
      </w:pPr>
      <w:r>
        <w:rPr>
          <w:rFonts w:hint="eastAsia" w:ascii="仿宋" w:hAnsi="仿宋" w:eastAsia="仿宋" w:cs="仿宋"/>
          <w:b w:val="0"/>
          <w:bCs/>
          <w:color w:val="000000"/>
          <w:sz w:val="24"/>
          <w:highlight w:val="none"/>
          <w:lang w:val="en-US" w:eastAsia="zh-CN"/>
        </w:rPr>
        <w:t>（4）承诺函；</w:t>
      </w:r>
      <w:r>
        <w:rPr>
          <w:rFonts w:hint="eastAsia" w:ascii="仿宋" w:hAnsi="仿宋" w:eastAsia="仿宋" w:cs="仿宋"/>
          <w:b/>
          <w:bCs w:val="0"/>
          <w:color w:val="000000"/>
          <w:sz w:val="24"/>
          <w:highlight w:val="none"/>
        </w:rPr>
        <w:t>(实质性要求）</w:t>
      </w:r>
    </w:p>
    <w:p>
      <w:pPr>
        <w:spacing w:line="360" w:lineRule="auto"/>
        <w:ind w:firstLine="480" w:firstLineChars="200"/>
        <w:outlineLvl w:val="9"/>
        <w:rPr>
          <w:rFonts w:hint="eastAsia" w:ascii="仿宋" w:hAnsi="仿宋" w:eastAsia="仿宋" w:cs="仿宋"/>
          <w:bCs w:val="0"/>
          <w:color w:val="000000"/>
          <w:sz w:val="24"/>
          <w:highlight w:val="none"/>
          <w:lang w:eastAsia="zh-CN"/>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5</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其他有利于</w:t>
      </w:r>
      <w:r>
        <w:rPr>
          <w:rFonts w:hint="eastAsia" w:ascii="仿宋" w:hAnsi="仿宋" w:eastAsia="仿宋" w:cs="仿宋"/>
          <w:bCs w:val="0"/>
          <w:color w:val="000000"/>
          <w:sz w:val="24"/>
          <w:highlight w:val="none"/>
          <w:lang w:eastAsia="zh-CN"/>
        </w:rPr>
        <w:t>供应商</w:t>
      </w:r>
      <w:r>
        <w:rPr>
          <w:rFonts w:hint="eastAsia" w:ascii="仿宋" w:hAnsi="仿宋" w:eastAsia="仿宋" w:cs="仿宋"/>
          <w:bCs w:val="0"/>
          <w:color w:val="000000"/>
          <w:sz w:val="24"/>
          <w:highlight w:val="none"/>
        </w:rPr>
        <w:t>的服务承诺等</w:t>
      </w:r>
      <w:r>
        <w:rPr>
          <w:rFonts w:hint="eastAsia" w:ascii="仿宋" w:hAnsi="仿宋" w:eastAsia="仿宋" w:cs="仿宋"/>
          <w:bCs w:val="0"/>
          <w:color w:val="000000"/>
          <w:sz w:val="24"/>
          <w:highlight w:val="none"/>
          <w:lang w:eastAsia="zh-CN"/>
        </w:rPr>
        <w:t>。</w:t>
      </w:r>
    </w:p>
    <w:p>
      <w:pPr>
        <w:spacing w:line="360" w:lineRule="auto"/>
        <w:ind w:firstLine="482" w:firstLineChars="200"/>
        <w:outlineLvl w:val="9"/>
        <w:rPr>
          <w:rFonts w:hint="eastAsia" w:ascii="仿宋" w:hAnsi="仿宋" w:eastAsia="仿宋" w:cs="仿宋"/>
          <w:b/>
          <w:bCs/>
          <w:color w:val="auto"/>
          <w:sz w:val="24"/>
        </w:rPr>
      </w:pPr>
      <w:r>
        <w:rPr>
          <w:rFonts w:hint="eastAsia" w:ascii="仿宋" w:hAnsi="仿宋" w:eastAsia="仿宋" w:cs="仿宋"/>
          <w:b/>
          <w:bCs w:val="0"/>
          <w:color w:val="auto"/>
          <w:sz w:val="24"/>
          <w:lang w:val="en-US" w:eastAsia="zh-CN"/>
        </w:rPr>
        <w:t>10.3</w:t>
      </w:r>
      <w:r>
        <w:rPr>
          <w:rFonts w:hint="eastAsia" w:ascii="仿宋" w:hAnsi="仿宋" w:eastAsia="仿宋" w:cs="仿宋"/>
          <w:b/>
          <w:color w:val="auto"/>
          <w:sz w:val="24"/>
        </w:rPr>
        <w:t>报价</w:t>
      </w:r>
      <w:r>
        <w:rPr>
          <w:rFonts w:hint="eastAsia" w:ascii="仿宋" w:hAnsi="仿宋" w:eastAsia="仿宋" w:cs="仿宋"/>
          <w:b/>
          <w:bCs/>
          <w:color w:val="auto"/>
          <w:sz w:val="24"/>
        </w:rPr>
        <w:t>响应文件</w:t>
      </w:r>
    </w:p>
    <w:p>
      <w:pPr>
        <w:pStyle w:val="116"/>
        <w:spacing w:line="360" w:lineRule="auto"/>
        <w:ind w:firstLine="480" w:firstLineChars="200"/>
        <w:outlineLvl w:val="9"/>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10.3.1</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多轮报价一览表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val="en-US" w:eastAsia="zh-CN"/>
        </w:rPr>
        <w:t>1份以上，</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多轮报价一览表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报价部分建议留空，</w:t>
      </w:r>
      <w:r>
        <w:rPr>
          <w:rFonts w:hint="eastAsia" w:ascii="仿宋" w:hAnsi="仿宋" w:eastAsia="仿宋" w:cs="仿宋"/>
          <w:bCs/>
          <w:color w:val="auto"/>
          <w:sz w:val="24"/>
          <w:szCs w:val="22"/>
        </w:rPr>
        <w:t>以供</w:t>
      </w:r>
      <w:r>
        <w:rPr>
          <w:rFonts w:hint="eastAsia" w:ascii="仿宋" w:hAnsi="仿宋" w:eastAsia="仿宋" w:cs="仿宋"/>
          <w:bCs/>
          <w:color w:val="auto"/>
          <w:sz w:val="24"/>
          <w:szCs w:val="22"/>
          <w:lang w:eastAsia="zh-CN"/>
        </w:rPr>
        <w:t>供应商</w:t>
      </w:r>
      <w:r>
        <w:rPr>
          <w:rFonts w:hint="eastAsia" w:ascii="仿宋" w:hAnsi="仿宋" w:eastAsia="仿宋" w:cs="仿宋"/>
          <w:bCs/>
          <w:color w:val="auto"/>
          <w:sz w:val="24"/>
          <w:szCs w:val="22"/>
        </w:rPr>
        <w:t>现场</w:t>
      </w:r>
      <w:r>
        <w:rPr>
          <w:rFonts w:hint="eastAsia" w:ascii="仿宋" w:hAnsi="仿宋" w:eastAsia="仿宋" w:cs="仿宋"/>
          <w:bCs/>
          <w:color w:val="auto"/>
          <w:sz w:val="24"/>
          <w:szCs w:val="22"/>
          <w:lang w:eastAsia="zh-CN"/>
        </w:rPr>
        <w:t>填写多轮</w:t>
      </w:r>
      <w:r>
        <w:rPr>
          <w:rFonts w:hint="eastAsia" w:ascii="仿宋" w:hAnsi="仿宋" w:eastAsia="仿宋" w:cs="仿宋"/>
          <w:bCs/>
          <w:color w:val="auto"/>
          <w:sz w:val="24"/>
          <w:szCs w:val="22"/>
        </w:rPr>
        <w:t>报价使用。</w:t>
      </w:r>
    </w:p>
    <w:p>
      <w:pPr>
        <w:pStyle w:val="116"/>
        <w:spacing w:line="360" w:lineRule="auto"/>
        <w:ind w:firstLine="480" w:firstLineChars="200"/>
        <w:outlineLvl w:val="9"/>
        <w:rPr>
          <w:color w:val="auto"/>
        </w:rPr>
      </w:pPr>
      <w:r>
        <w:rPr>
          <w:rFonts w:hint="eastAsia" w:ascii="仿宋" w:hAnsi="仿宋" w:eastAsia="仿宋" w:cs="仿宋"/>
          <w:color w:val="auto"/>
          <w:sz w:val="24"/>
          <w:lang w:val="en-US" w:eastAsia="zh-CN"/>
        </w:rPr>
        <w:t>谈判结束后，谈判小组要求供应商进行多轮报价时，由</w:t>
      </w:r>
      <w:r>
        <w:rPr>
          <w:rFonts w:hint="eastAsia" w:ascii="仿宋" w:hAnsi="仿宋" w:eastAsia="仿宋" w:cs="仿宋"/>
          <w:color w:val="auto"/>
          <w:sz w:val="24"/>
          <w:szCs w:val="24"/>
        </w:rPr>
        <w:t>供应商填写“</w:t>
      </w:r>
      <w:r>
        <w:rPr>
          <w:rFonts w:hint="eastAsia" w:ascii="仿宋" w:hAnsi="仿宋" w:eastAsia="仿宋" w:cs="仿宋"/>
          <w:color w:val="auto"/>
          <w:sz w:val="24"/>
          <w:szCs w:val="24"/>
          <w:lang w:eastAsia="zh-CN"/>
        </w:rPr>
        <w:t>多轮</w:t>
      </w:r>
      <w:r>
        <w:rPr>
          <w:rFonts w:hint="eastAsia" w:ascii="仿宋" w:hAnsi="仿宋" w:eastAsia="仿宋" w:cs="仿宋"/>
          <w:color w:val="auto"/>
          <w:sz w:val="24"/>
          <w:szCs w:val="24"/>
        </w:rPr>
        <w:t>报价</w:t>
      </w:r>
      <w:r>
        <w:rPr>
          <w:rFonts w:hint="eastAsia" w:ascii="仿宋" w:hAnsi="仿宋" w:eastAsia="仿宋" w:cs="仿宋"/>
          <w:color w:val="auto"/>
          <w:sz w:val="24"/>
          <w:szCs w:val="24"/>
          <w:lang w:eastAsia="zh-CN"/>
        </w:rPr>
        <w:t>一览表</w:t>
      </w:r>
      <w:r>
        <w:rPr>
          <w:rFonts w:hint="eastAsia" w:ascii="仿宋" w:hAnsi="仿宋" w:eastAsia="仿宋" w:cs="仿宋"/>
          <w:color w:val="auto"/>
          <w:sz w:val="24"/>
          <w:szCs w:val="24"/>
        </w:rPr>
        <w:t>”，并自行准备密封袋，以备评审现场根据要求填写后密封提交。经供应商法定代表人或代理人签字后密封递交给代理机构工作人员。由其收集齐后</w:t>
      </w:r>
      <w:r>
        <w:rPr>
          <w:rFonts w:hint="eastAsia" w:ascii="仿宋" w:hAnsi="仿宋" w:eastAsia="仿宋" w:cs="仿宋"/>
          <w:color w:val="auto"/>
          <w:sz w:val="24"/>
          <w:szCs w:val="24"/>
          <w:lang w:eastAsia="zh-CN"/>
        </w:rPr>
        <w:t>交由监督代表</w:t>
      </w:r>
      <w:r>
        <w:rPr>
          <w:rFonts w:hint="eastAsia" w:ascii="仿宋" w:hAnsi="仿宋" w:eastAsia="仿宋" w:cs="仿宋"/>
          <w:color w:val="auto"/>
          <w:sz w:val="24"/>
          <w:szCs w:val="24"/>
        </w:rPr>
        <w:t>集中递交</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w:t>
      </w:r>
    </w:p>
    <w:p>
      <w:pPr>
        <w:pStyle w:val="116"/>
        <w:spacing w:line="360" w:lineRule="auto"/>
        <w:ind w:firstLine="480" w:firstLineChars="200"/>
        <w:outlineLvl w:val="9"/>
        <w:rPr>
          <w:rFonts w:hint="eastAsia" w:ascii="仿宋" w:hAnsi="仿宋" w:eastAsia="仿宋" w:cs="仿宋"/>
          <w:bCs/>
          <w:color w:val="auto"/>
          <w:sz w:val="24"/>
          <w:szCs w:val="22"/>
          <w:lang w:val="en-US" w:eastAsia="zh-CN"/>
        </w:rPr>
      </w:pPr>
      <w:r>
        <w:rPr>
          <w:rFonts w:hint="eastAsia" w:ascii="仿宋" w:hAnsi="仿宋" w:eastAsia="仿宋" w:cs="仿宋"/>
          <w:bCs/>
          <w:color w:val="auto"/>
          <w:sz w:val="24"/>
          <w:szCs w:val="22"/>
          <w:lang w:val="en-US" w:eastAsia="zh-CN"/>
        </w:rPr>
        <w:t>10.3.2</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最后报价一览表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val="en-US" w:eastAsia="zh-CN"/>
        </w:rPr>
        <w:t>1份，</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最后报价一览表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报价部分建议留空，</w:t>
      </w:r>
      <w:r>
        <w:rPr>
          <w:rFonts w:hint="eastAsia" w:ascii="仿宋" w:hAnsi="仿宋" w:eastAsia="仿宋" w:cs="仿宋"/>
          <w:bCs/>
          <w:color w:val="auto"/>
          <w:sz w:val="24"/>
          <w:szCs w:val="22"/>
        </w:rPr>
        <w:t>以供</w:t>
      </w:r>
      <w:r>
        <w:rPr>
          <w:rFonts w:hint="eastAsia" w:ascii="仿宋" w:hAnsi="仿宋" w:eastAsia="仿宋" w:cs="仿宋"/>
          <w:bCs/>
          <w:color w:val="auto"/>
          <w:sz w:val="24"/>
          <w:szCs w:val="22"/>
          <w:lang w:eastAsia="zh-CN"/>
        </w:rPr>
        <w:t>供应商</w:t>
      </w:r>
      <w:r>
        <w:rPr>
          <w:rFonts w:hint="eastAsia" w:ascii="仿宋" w:hAnsi="仿宋" w:eastAsia="仿宋" w:cs="仿宋"/>
          <w:bCs/>
          <w:color w:val="auto"/>
          <w:sz w:val="24"/>
          <w:szCs w:val="22"/>
        </w:rPr>
        <w:t>现场</w:t>
      </w:r>
      <w:r>
        <w:rPr>
          <w:rFonts w:hint="eastAsia" w:ascii="仿宋" w:hAnsi="仿宋" w:eastAsia="仿宋" w:cs="仿宋"/>
          <w:bCs/>
          <w:color w:val="auto"/>
          <w:sz w:val="24"/>
          <w:szCs w:val="22"/>
          <w:lang w:eastAsia="zh-CN"/>
        </w:rPr>
        <w:t>填写</w:t>
      </w:r>
      <w:r>
        <w:rPr>
          <w:rFonts w:hint="eastAsia" w:ascii="仿宋" w:hAnsi="仿宋" w:eastAsia="仿宋" w:cs="仿宋"/>
          <w:bCs/>
          <w:color w:val="auto"/>
          <w:sz w:val="24"/>
          <w:szCs w:val="22"/>
        </w:rPr>
        <w:t>最</w:t>
      </w:r>
      <w:r>
        <w:rPr>
          <w:rFonts w:hint="eastAsia" w:ascii="仿宋" w:hAnsi="仿宋" w:eastAsia="仿宋" w:cs="仿宋"/>
          <w:bCs/>
          <w:color w:val="auto"/>
          <w:sz w:val="24"/>
          <w:szCs w:val="22"/>
          <w:lang w:eastAsia="zh-CN"/>
        </w:rPr>
        <w:t>后</w:t>
      </w:r>
      <w:r>
        <w:rPr>
          <w:rFonts w:hint="eastAsia" w:ascii="仿宋" w:hAnsi="仿宋" w:eastAsia="仿宋" w:cs="仿宋"/>
          <w:bCs/>
          <w:color w:val="auto"/>
          <w:sz w:val="24"/>
          <w:szCs w:val="22"/>
        </w:rPr>
        <w:t>报价使用</w:t>
      </w:r>
      <w:r>
        <w:rPr>
          <w:rFonts w:hint="eastAsia" w:ascii="仿宋" w:hAnsi="仿宋" w:eastAsia="仿宋" w:cs="仿宋"/>
          <w:bCs/>
          <w:color w:val="auto"/>
          <w:sz w:val="24"/>
          <w:szCs w:val="22"/>
          <w:lang w:eastAsia="zh-CN"/>
        </w:rPr>
        <w:t>。</w:t>
      </w:r>
    </w:p>
    <w:p>
      <w:pPr>
        <w:pStyle w:val="116"/>
        <w:spacing w:line="360" w:lineRule="auto"/>
        <w:ind w:firstLine="480" w:firstLineChars="200"/>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结束后，</w:t>
      </w:r>
      <w:r>
        <w:rPr>
          <w:rFonts w:hint="eastAsia" w:ascii="仿宋" w:hAnsi="仿宋" w:eastAsia="仿宋" w:cs="仿宋"/>
          <w:color w:val="auto"/>
          <w:sz w:val="24"/>
          <w:szCs w:val="24"/>
          <w:lang w:eastAsia="zh-CN"/>
        </w:rPr>
        <w:t>谈判小组要求</w:t>
      </w:r>
      <w:r>
        <w:rPr>
          <w:rFonts w:hint="eastAsia" w:ascii="仿宋" w:hAnsi="仿宋" w:eastAsia="仿宋" w:cs="仿宋"/>
          <w:color w:val="auto"/>
          <w:sz w:val="24"/>
          <w:szCs w:val="24"/>
        </w:rPr>
        <w:t>供应商</w:t>
      </w:r>
      <w:r>
        <w:rPr>
          <w:rFonts w:hint="eastAsia" w:ascii="仿宋" w:hAnsi="仿宋" w:eastAsia="仿宋" w:cs="仿宋"/>
          <w:color w:val="auto"/>
          <w:sz w:val="24"/>
          <w:szCs w:val="24"/>
          <w:lang w:eastAsia="zh-CN"/>
        </w:rPr>
        <w:t>进行最后报价时</w:t>
      </w:r>
      <w:r>
        <w:rPr>
          <w:rFonts w:hint="eastAsia" w:ascii="仿宋" w:hAnsi="仿宋" w:eastAsia="仿宋" w:cs="仿宋"/>
          <w:color w:val="auto"/>
          <w:sz w:val="24"/>
          <w:szCs w:val="24"/>
        </w:rPr>
        <w:t>，由供应商填写“</w:t>
      </w:r>
      <w:r>
        <w:rPr>
          <w:rFonts w:hint="eastAsia" w:ascii="仿宋" w:hAnsi="仿宋" w:eastAsia="仿宋" w:cs="仿宋"/>
          <w:color w:val="auto"/>
          <w:sz w:val="24"/>
          <w:szCs w:val="24"/>
          <w:lang w:eastAsia="zh-CN"/>
        </w:rPr>
        <w:t>最后报价一览表</w:t>
      </w:r>
      <w:r>
        <w:rPr>
          <w:rFonts w:hint="eastAsia" w:ascii="仿宋" w:hAnsi="仿宋" w:eastAsia="仿宋" w:cs="仿宋"/>
          <w:color w:val="auto"/>
          <w:sz w:val="24"/>
          <w:szCs w:val="24"/>
        </w:rPr>
        <w:t>”，并自行准备密封袋，以备评审现场根据要求填写后密封提交。经供应商法定代表人或代理人签字后密封递交给代理机构工作人员。由其收集齐后</w:t>
      </w:r>
      <w:r>
        <w:rPr>
          <w:rFonts w:hint="eastAsia" w:ascii="仿宋" w:hAnsi="仿宋" w:eastAsia="仿宋" w:cs="仿宋"/>
          <w:color w:val="auto"/>
          <w:sz w:val="24"/>
          <w:szCs w:val="24"/>
          <w:lang w:eastAsia="zh-CN"/>
        </w:rPr>
        <w:t>交由监督代表</w:t>
      </w:r>
      <w:r>
        <w:rPr>
          <w:rFonts w:hint="eastAsia" w:ascii="仿宋" w:hAnsi="仿宋" w:eastAsia="仿宋" w:cs="仿宋"/>
          <w:color w:val="auto"/>
          <w:sz w:val="24"/>
          <w:szCs w:val="24"/>
        </w:rPr>
        <w:t>集中递交</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w:t>
      </w:r>
    </w:p>
    <w:p>
      <w:pPr>
        <w:spacing w:line="360" w:lineRule="auto"/>
        <w:ind w:firstLine="482" w:firstLineChars="200"/>
        <w:rPr>
          <w:rFonts w:hint="eastAsia" w:ascii="仿宋" w:hAnsi="仿宋" w:eastAsia="仿宋" w:cs="仿宋"/>
          <w:bCs/>
          <w:color w:val="auto"/>
          <w:sz w:val="24"/>
          <w:highlight w:val="none"/>
        </w:rPr>
      </w:pPr>
      <w:r>
        <w:rPr>
          <w:rFonts w:hint="eastAsia" w:ascii="仿宋" w:hAnsi="仿宋" w:eastAsia="仿宋" w:cs="仿宋"/>
          <w:b/>
          <w:bCs w:val="0"/>
          <w:color w:val="auto"/>
          <w:sz w:val="24"/>
          <w:highlight w:val="none"/>
        </w:rPr>
        <w:t>本项目报价要求</w:t>
      </w:r>
      <w:r>
        <w:rPr>
          <w:rFonts w:hint="eastAsia" w:ascii="仿宋" w:hAnsi="仿宋" w:eastAsia="仿宋" w:cs="仿宋"/>
          <w:b/>
          <w:color w:val="auto"/>
          <w:sz w:val="24"/>
          <w:highlight w:val="none"/>
        </w:rPr>
        <w:t>（实质性要求）</w:t>
      </w:r>
    </w:p>
    <w:p>
      <w:pPr>
        <w:widowControl/>
        <w:spacing w:line="360" w:lineRule="auto"/>
        <w:ind w:firstLine="480"/>
        <w:jc w:val="both"/>
        <w:rPr>
          <w:rFonts w:hint="eastAsia" w:ascii="仿宋" w:hAnsi="仿宋" w:eastAsia="仿宋" w:cs="仿宋"/>
          <w:color w:val="auto"/>
          <w:sz w:val="24"/>
          <w:highlight w:val="none"/>
        </w:rPr>
      </w:pPr>
      <w:r>
        <w:rPr>
          <w:rFonts w:hint="eastAsia" w:ascii="仿宋" w:hAnsi="仿宋" w:eastAsia="仿宋" w:cs="仿宋"/>
          <w:color w:val="000000"/>
          <w:sz w:val="24"/>
          <w:highlight w:val="none"/>
        </w:rPr>
        <w:t>①</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bCs/>
          <w:color w:val="auto"/>
          <w:sz w:val="24"/>
          <w:highlight w:val="none"/>
        </w:rPr>
        <w:t>供</w:t>
      </w:r>
      <w:r>
        <w:rPr>
          <w:rFonts w:hint="eastAsia" w:ascii="仿宋" w:hAnsi="仿宋" w:eastAsia="仿宋" w:cs="仿宋"/>
          <w:color w:val="auto"/>
          <w:sz w:val="24"/>
          <w:highlight w:val="none"/>
        </w:rPr>
        <w:t>应商的报价是供应商响应本项目要求的全部工作内容的价格体现，包括供应商完成本项目所需的一切费用。</w:t>
      </w:r>
    </w:p>
    <w:p>
      <w:pPr>
        <w:widowControl/>
        <w:spacing w:line="360" w:lineRule="auto"/>
        <w:ind w:firstLine="480"/>
        <w:jc w:val="both"/>
        <w:rPr>
          <w:rFonts w:hint="eastAsia" w:ascii="仿宋" w:hAnsi="仿宋" w:eastAsia="仿宋" w:cs="仿宋"/>
          <w:color w:val="000000"/>
          <w:sz w:val="24"/>
          <w:highlight w:val="none"/>
        </w:rPr>
      </w:pPr>
      <w:r>
        <w:rPr>
          <w:rFonts w:hint="eastAsia" w:ascii="仿宋" w:hAnsi="仿宋" w:eastAsia="仿宋" w:cs="仿宋"/>
          <w:color w:val="000000"/>
          <w:sz w:val="24"/>
          <w:highlight w:val="none"/>
        </w:rPr>
        <w:t>②</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auto"/>
          <w:sz w:val="24"/>
          <w:highlight w:val="none"/>
        </w:rPr>
        <w:t>供应商最</w:t>
      </w:r>
      <w:r>
        <w:rPr>
          <w:rFonts w:hint="eastAsia" w:ascii="仿宋" w:hAnsi="仿宋" w:eastAsia="仿宋" w:cs="仿宋"/>
          <w:color w:val="auto"/>
          <w:sz w:val="24"/>
          <w:highlight w:val="none"/>
          <w:lang w:eastAsia="zh-CN"/>
        </w:rPr>
        <w:t>后</w:t>
      </w:r>
      <w:r>
        <w:rPr>
          <w:rFonts w:hint="eastAsia" w:ascii="仿宋" w:hAnsi="仿宋" w:eastAsia="仿宋" w:cs="仿宋"/>
          <w:color w:val="auto"/>
          <w:sz w:val="24"/>
          <w:highlight w:val="none"/>
        </w:rPr>
        <w:t>报价只允许有一个报价，并且在合同履行过程中是固定不变的，任何有选择或可调整的报价将不予接受，并按无效响应处理（但是按本采购文件的</w:t>
      </w:r>
      <w:r>
        <w:rPr>
          <w:rFonts w:hint="eastAsia" w:ascii="仿宋" w:hAnsi="仿宋" w:eastAsia="仿宋" w:cs="仿宋"/>
          <w:color w:val="000000"/>
          <w:sz w:val="24"/>
          <w:highlight w:val="none"/>
        </w:rPr>
        <w:t>规定，属于报价计算错误可以修改的情形除外）。</w:t>
      </w:r>
    </w:p>
    <w:p>
      <w:pPr>
        <w:widowControl/>
        <w:spacing w:line="360" w:lineRule="auto"/>
        <w:ind w:firstLine="480"/>
        <w:jc w:val="both"/>
        <w:rPr>
          <w:rFonts w:hint="eastAsia" w:ascii="仿宋" w:hAnsi="仿宋" w:eastAsia="仿宋" w:cs="仿宋"/>
          <w:color w:val="000000"/>
          <w:sz w:val="24"/>
          <w:highlight w:val="none"/>
        </w:rPr>
      </w:pPr>
      <w:r>
        <w:rPr>
          <w:rFonts w:hint="eastAsia" w:ascii="仿宋" w:hAnsi="仿宋" w:eastAsia="仿宋" w:cs="仿宋"/>
          <w:color w:val="000000"/>
          <w:sz w:val="24"/>
          <w:highlight w:val="none"/>
        </w:rPr>
        <w:t>③</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w:t>
      </w:r>
      <w:r>
        <w:rPr>
          <w:rFonts w:hint="eastAsia" w:ascii="仿宋" w:hAnsi="仿宋" w:eastAsia="仿宋" w:cs="仿宋"/>
          <w:color w:val="000000"/>
          <w:sz w:val="24"/>
          <w:highlight w:val="none"/>
          <w:lang w:eastAsia="zh-CN"/>
        </w:rPr>
        <w:t>最后报价一览表</w:t>
      </w:r>
      <w:r>
        <w:rPr>
          <w:rFonts w:hint="eastAsia" w:ascii="仿宋" w:hAnsi="仿宋" w:eastAsia="仿宋" w:cs="仿宋"/>
          <w:color w:val="000000"/>
          <w:sz w:val="24"/>
          <w:highlight w:val="none"/>
        </w:rPr>
        <w:t>”填写的报价将作为本次采购唯一的最</w:t>
      </w:r>
      <w:r>
        <w:rPr>
          <w:rFonts w:hint="eastAsia" w:ascii="仿宋" w:hAnsi="仿宋" w:eastAsia="仿宋" w:cs="仿宋"/>
          <w:color w:val="000000"/>
          <w:sz w:val="24"/>
          <w:highlight w:val="none"/>
          <w:lang w:eastAsia="zh-CN"/>
        </w:rPr>
        <w:t>后</w:t>
      </w:r>
      <w:r>
        <w:rPr>
          <w:rFonts w:hint="eastAsia" w:ascii="仿宋" w:hAnsi="仿宋" w:eastAsia="仿宋" w:cs="仿宋"/>
          <w:color w:val="000000"/>
          <w:sz w:val="24"/>
          <w:highlight w:val="none"/>
        </w:rPr>
        <w:t>报价依据。</w:t>
      </w:r>
    </w:p>
    <w:p>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000000"/>
          <w:sz w:val="24"/>
          <w:highlight w:val="none"/>
        </w:rPr>
        <w:t>④</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b w:val="0"/>
          <w:bCs w:val="0"/>
          <w:color w:val="auto"/>
          <w:sz w:val="24"/>
          <w:szCs w:val="24"/>
          <w:highlight w:val="none"/>
          <w:shd w:val="clear" w:color="auto" w:fill="auto"/>
          <w:lang w:val="en-US" w:eastAsia="zh-CN"/>
        </w:rPr>
        <w:t>现场报价的单价</w:t>
      </w:r>
      <w:r>
        <w:rPr>
          <w:rFonts w:hint="eastAsia" w:ascii="仿宋" w:hAnsi="仿宋" w:eastAsia="仿宋" w:cs="仿宋"/>
          <w:color w:val="auto"/>
          <w:sz w:val="24"/>
          <w:highlight w:val="none"/>
          <w:lang w:val="en-US" w:eastAsia="zh-CN"/>
        </w:rPr>
        <w:t>为每份报价（1份为1000个袋子），每份单价按照报价总价的同比下浮率报价，保留小数点后两位，即：每份单价=每份限价*(报价总价÷最高限价220900.00元）；单项总价相加≦报价总价，报价总价不保留小数。未按以上要求报价无效。</w:t>
      </w:r>
    </w:p>
    <w:p>
      <w:pPr>
        <w:spacing w:line="360" w:lineRule="auto"/>
        <w:rPr>
          <w:rFonts w:hint="eastAsia" w:ascii="仿宋" w:hAnsi="仿宋" w:eastAsia="仿宋" w:cs="仿宋"/>
          <w:b/>
          <w:bCs w:val="0"/>
          <w:color w:val="auto"/>
          <w:sz w:val="24"/>
          <w:lang w:val="en-US" w:eastAsia="zh-CN"/>
        </w:rPr>
      </w:pPr>
    </w:p>
    <w:p>
      <w:pPr>
        <w:spacing w:line="360" w:lineRule="auto"/>
        <w:ind w:firstLine="482" w:firstLineChars="200"/>
        <w:rPr>
          <w:rFonts w:hint="eastAsia" w:ascii="仿宋" w:hAnsi="仿宋" w:eastAsia="仿宋" w:cs="仿宋"/>
          <w:b/>
          <w:bCs w:val="0"/>
          <w:color w:val="auto"/>
          <w:sz w:val="24"/>
          <w:lang w:val="en-US" w:eastAsia="zh-CN"/>
        </w:rPr>
      </w:pPr>
      <w:r>
        <w:rPr>
          <w:rFonts w:hint="eastAsia" w:ascii="仿宋" w:hAnsi="仿宋" w:eastAsia="仿宋" w:cs="仿宋"/>
          <w:b/>
          <w:bCs w:val="0"/>
          <w:color w:val="auto"/>
          <w:sz w:val="24"/>
          <w:lang w:val="en-US" w:eastAsia="zh-CN"/>
        </w:rPr>
        <w:t>10.4电子文档</w:t>
      </w:r>
    </w:p>
    <w:p>
      <w:pPr>
        <w:widowControl/>
        <w:spacing w:line="360" w:lineRule="auto"/>
        <w:ind w:firstLine="480"/>
        <w:jc w:val="both"/>
        <w:rPr>
          <w:rFonts w:hint="eastAsia" w:ascii="仿宋" w:hAnsi="仿宋" w:eastAsia="仿宋" w:cs="仿宋"/>
          <w:bCs/>
          <w:color w:val="auto"/>
          <w:sz w:val="24"/>
        </w:rPr>
      </w:pPr>
      <w:r>
        <w:rPr>
          <w:rFonts w:hint="eastAsia" w:ascii="仿宋" w:hAnsi="仿宋" w:eastAsia="仿宋" w:cs="仿宋"/>
          <w:bCs/>
          <w:color w:val="auto"/>
          <w:sz w:val="24"/>
        </w:rPr>
        <w:t>响应文件电子</w:t>
      </w:r>
      <w:r>
        <w:rPr>
          <w:rFonts w:hint="eastAsia" w:ascii="仿宋" w:hAnsi="仿宋" w:eastAsia="仿宋" w:cs="仿宋"/>
          <w:bCs/>
          <w:color w:val="auto"/>
          <w:sz w:val="24"/>
          <w:lang w:eastAsia="zh-CN"/>
        </w:rPr>
        <w:t>文</w:t>
      </w:r>
      <w:r>
        <w:rPr>
          <w:rFonts w:hint="eastAsia" w:ascii="仿宋" w:hAnsi="仿宋" w:eastAsia="仿宋" w:cs="仿宋"/>
          <w:bCs/>
          <w:color w:val="auto"/>
          <w:sz w:val="24"/>
        </w:rPr>
        <w:t>档应当包含资格性响应文件和其他响应文件两部分。</w:t>
      </w:r>
    </w:p>
    <w:p>
      <w:pPr>
        <w:widowControl/>
        <w:spacing w:line="360" w:lineRule="auto"/>
        <w:jc w:val="left"/>
        <w:outlineLvl w:val="9"/>
        <w:rPr>
          <w:rFonts w:hint="eastAsia" w:ascii="仿宋" w:hAnsi="仿宋" w:eastAsia="仿宋" w:cs="仿宋"/>
          <w:color w:val="auto"/>
          <w:sz w:val="24"/>
        </w:rPr>
      </w:pPr>
    </w:p>
    <w:p>
      <w:pPr>
        <w:widowControl/>
        <w:spacing w:line="360" w:lineRule="auto"/>
        <w:ind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11.</w:t>
      </w:r>
      <w:r>
        <w:rPr>
          <w:rFonts w:hint="eastAsia" w:ascii="仿宋" w:hAnsi="仿宋" w:eastAsia="仿宋" w:cs="仿宋"/>
          <w:b/>
          <w:bCs/>
          <w:color w:val="auto"/>
          <w:sz w:val="24"/>
        </w:rPr>
        <w:t>响应文件格式</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rPr>
        <w:t>供应商应按照</w:t>
      </w:r>
      <w:r>
        <w:rPr>
          <w:rFonts w:hint="eastAsia" w:ascii="仿宋" w:hAnsi="仿宋" w:eastAsia="仿宋" w:cs="仿宋"/>
          <w:bCs/>
          <w:color w:val="auto"/>
          <w:sz w:val="24"/>
        </w:rPr>
        <w:t>竞争性谈判文件</w:t>
      </w:r>
      <w:r>
        <w:rPr>
          <w:rFonts w:hint="eastAsia" w:ascii="仿宋" w:hAnsi="仿宋" w:eastAsia="仿宋" w:cs="仿宋"/>
          <w:color w:val="auto"/>
          <w:sz w:val="24"/>
        </w:rPr>
        <w:t>第</w:t>
      </w:r>
      <w:r>
        <w:rPr>
          <w:rFonts w:hint="eastAsia" w:ascii="仿宋" w:hAnsi="仿宋" w:eastAsia="仿宋" w:cs="仿宋"/>
          <w:color w:val="auto"/>
          <w:sz w:val="24"/>
          <w:lang w:eastAsia="zh-CN"/>
        </w:rPr>
        <w:t>七</w:t>
      </w:r>
      <w:r>
        <w:rPr>
          <w:rFonts w:hint="eastAsia" w:ascii="仿宋" w:hAnsi="仿宋" w:eastAsia="仿宋" w:cs="仿宋"/>
          <w:color w:val="auto"/>
          <w:sz w:val="24"/>
        </w:rPr>
        <w:t>章中提供的“响应文件格式”填写相关内容。除格式中明确将该格式作为实质性要求的，一律不具有强制性，但是，供应商响应文件相关资料和本章所制格式不一致的，需涵盖所有要求内容，未按要求提供导致</w:t>
      </w:r>
      <w:r>
        <w:rPr>
          <w:rFonts w:hint="eastAsia" w:ascii="仿宋" w:hAnsi="仿宋" w:eastAsia="仿宋" w:cs="仿宋"/>
          <w:color w:val="auto"/>
          <w:sz w:val="24"/>
          <w:lang w:eastAsia="zh-CN"/>
        </w:rPr>
        <w:t>响应</w:t>
      </w:r>
      <w:r>
        <w:rPr>
          <w:rFonts w:hint="eastAsia" w:ascii="仿宋" w:hAnsi="仿宋" w:eastAsia="仿宋" w:cs="仿宋"/>
          <w:color w:val="auto"/>
          <w:sz w:val="24"/>
        </w:rPr>
        <w:t>文件被认定为无效</w:t>
      </w:r>
      <w:r>
        <w:rPr>
          <w:rFonts w:hint="eastAsia" w:ascii="仿宋" w:hAnsi="仿宋" w:eastAsia="仿宋" w:cs="仿宋"/>
          <w:color w:val="auto"/>
          <w:sz w:val="24"/>
          <w:lang w:eastAsia="zh-CN"/>
        </w:rPr>
        <w:t>响应</w:t>
      </w:r>
      <w:r>
        <w:rPr>
          <w:rFonts w:hint="eastAsia" w:ascii="仿宋" w:hAnsi="仿宋" w:eastAsia="仿宋" w:cs="仿宋"/>
          <w:color w:val="auto"/>
          <w:sz w:val="24"/>
        </w:rPr>
        <w:t>文件</w:t>
      </w:r>
      <w:r>
        <w:rPr>
          <w:rFonts w:hint="eastAsia" w:ascii="仿宋" w:hAnsi="仿宋" w:eastAsia="仿宋" w:cs="仿宋"/>
          <w:color w:val="auto"/>
          <w:sz w:val="24"/>
          <w:lang w:eastAsia="zh-CN"/>
        </w:rPr>
        <w:t>的</w:t>
      </w:r>
      <w:r>
        <w:rPr>
          <w:rFonts w:hint="eastAsia" w:ascii="仿宋" w:hAnsi="仿宋" w:eastAsia="仿宋" w:cs="仿宋"/>
          <w:color w:val="auto"/>
          <w:sz w:val="24"/>
        </w:rPr>
        <w:t>，后果由供应商自行承担。</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rPr>
        <w:t>对于没有格式要求的内容由供应商根据其实际情况自行编写。</w:t>
      </w:r>
    </w:p>
    <w:p>
      <w:pPr>
        <w:widowControl/>
        <w:spacing w:line="360" w:lineRule="auto"/>
        <w:jc w:val="both"/>
        <w:outlineLvl w:val="9"/>
        <w:rPr>
          <w:rFonts w:hint="eastAsia" w:ascii="仿宋" w:hAnsi="仿宋" w:eastAsia="仿宋" w:cs="仿宋"/>
          <w:color w:val="auto"/>
          <w:sz w:val="24"/>
        </w:rPr>
      </w:pPr>
      <w:r>
        <w:rPr>
          <w:rFonts w:hint="eastAsia" w:ascii="仿宋" w:hAnsi="仿宋" w:eastAsia="仿宋" w:cs="仿宋"/>
          <w:color w:val="auto"/>
          <w:sz w:val="24"/>
        </w:rPr>
        <w:t xml:space="preserve">   </w:t>
      </w:r>
    </w:p>
    <w:p>
      <w:pPr>
        <w:widowControl/>
        <w:spacing w:line="360" w:lineRule="auto"/>
        <w:ind w:firstLine="482" w:firstLineChars="200"/>
        <w:jc w:val="both"/>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12.</w:t>
      </w:r>
      <w:r>
        <w:rPr>
          <w:rFonts w:hint="eastAsia" w:ascii="仿宋" w:hAnsi="仿宋" w:eastAsia="仿宋" w:cs="仿宋"/>
          <w:b/>
          <w:bCs/>
          <w:color w:val="auto"/>
          <w:sz w:val="24"/>
        </w:rPr>
        <w:t>响应文件的印制及签署</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w:t>
      </w:r>
      <w:r>
        <w:rPr>
          <w:rFonts w:hint="eastAsia" w:ascii="仿宋" w:hAnsi="仿宋" w:eastAsia="仿宋" w:cs="仿宋"/>
          <w:b/>
          <w:bCs/>
          <w:color w:val="auto"/>
          <w:sz w:val="24"/>
        </w:rPr>
        <w:t>资格性响应文件</w:t>
      </w:r>
      <w:r>
        <w:rPr>
          <w:rFonts w:hint="eastAsia" w:ascii="仿宋" w:hAnsi="仿宋" w:eastAsia="仿宋" w:cs="仿宋"/>
          <w:color w:val="auto"/>
          <w:sz w:val="24"/>
        </w:rPr>
        <w:t>正本1份、副本2份，并在其封面上清楚地标明资格性响应文件、采购项目名称、采购项目编号、包件号及名称（若有）、供应商名称以及“正本”或“副本”字样。若正本和副本有不一致的内容，以正本书面响应文件为准。</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12.2</w:t>
      </w:r>
      <w:r>
        <w:rPr>
          <w:rFonts w:hint="eastAsia" w:ascii="仿宋" w:hAnsi="仿宋" w:eastAsia="仿宋" w:cs="仿宋"/>
          <w:b/>
          <w:bCs/>
          <w:color w:val="auto"/>
          <w:sz w:val="24"/>
        </w:rPr>
        <w:t>其他响应文件</w:t>
      </w:r>
      <w:r>
        <w:rPr>
          <w:rFonts w:hint="eastAsia" w:ascii="仿宋" w:hAnsi="仿宋" w:eastAsia="仿宋" w:cs="仿宋"/>
          <w:color w:val="auto"/>
          <w:sz w:val="24"/>
        </w:rPr>
        <w:t>正本1份、副本2份，并在其封面上清楚地标明其他响应文件、采购项目名称、采购项目编号、包件号及名称（若有）、供应商名称以及“正本”或“副本”字样。若正本和副本有不一致的内容，以正本书面响应文件为准。</w:t>
      </w:r>
    </w:p>
    <w:p>
      <w:pPr>
        <w:widowControl/>
        <w:spacing w:line="360" w:lineRule="auto"/>
        <w:ind w:firstLine="480"/>
        <w:jc w:val="both"/>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12.3</w:t>
      </w:r>
      <w:r>
        <w:rPr>
          <w:rFonts w:hint="eastAsia" w:ascii="仿宋" w:hAnsi="仿宋" w:eastAsia="仿宋" w:cs="仿宋"/>
          <w:b/>
          <w:bCs/>
          <w:color w:val="auto"/>
          <w:sz w:val="24"/>
          <w:lang w:val="en-US" w:eastAsia="zh-CN"/>
        </w:rPr>
        <w:t>报价响应文件</w:t>
      </w:r>
      <w:r>
        <w:rPr>
          <w:rFonts w:hint="eastAsia" w:ascii="仿宋" w:hAnsi="仿宋" w:eastAsia="仿宋" w:cs="仿宋"/>
          <w:color w:val="auto"/>
          <w:sz w:val="24"/>
          <w:lang w:val="en-US" w:eastAsia="zh-CN"/>
        </w:rPr>
        <w:t>1份，并在其封面上清楚地标明报价响应文件、采购项目名称、采购项目编号、包件号及名称（若有）、供应商名称。</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12.4</w:t>
      </w:r>
      <w:r>
        <w:rPr>
          <w:rFonts w:hint="eastAsia" w:ascii="仿宋" w:hAnsi="仿宋" w:eastAsia="仿宋" w:cs="仿宋"/>
          <w:b/>
          <w:bCs/>
          <w:color w:val="auto"/>
          <w:sz w:val="24"/>
        </w:rPr>
        <w:t>响应文件电子</w:t>
      </w:r>
      <w:r>
        <w:rPr>
          <w:rFonts w:hint="eastAsia" w:ascii="仿宋" w:hAnsi="仿宋" w:eastAsia="仿宋" w:cs="仿宋"/>
          <w:b/>
          <w:bCs/>
          <w:color w:val="auto"/>
          <w:sz w:val="24"/>
          <w:lang w:eastAsia="zh-CN"/>
        </w:rPr>
        <w:t>文</w:t>
      </w:r>
      <w:r>
        <w:rPr>
          <w:rFonts w:hint="eastAsia" w:ascii="仿宋" w:hAnsi="仿宋" w:eastAsia="仿宋" w:cs="仿宋"/>
          <w:b/>
          <w:bCs/>
          <w:color w:val="auto"/>
          <w:sz w:val="24"/>
        </w:rPr>
        <w:t>档</w:t>
      </w:r>
      <w:r>
        <w:rPr>
          <w:rFonts w:hint="eastAsia" w:ascii="仿宋" w:hAnsi="仿宋" w:eastAsia="仿宋" w:cs="仿宋"/>
          <w:color w:val="auto"/>
          <w:sz w:val="24"/>
        </w:rPr>
        <w:t>在其封面上清楚地标明采购项目名称、采购项目编号、包件号及名称（若有）、供应商名称。</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12.5</w:t>
      </w:r>
      <w:r>
        <w:rPr>
          <w:rFonts w:hint="eastAsia" w:ascii="仿宋" w:hAnsi="仿宋" w:eastAsia="仿宋" w:cs="仿宋"/>
          <w:color w:val="auto"/>
          <w:sz w:val="24"/>
        </w:rPr>
        <w:t>若响应文件正本与副本内容出现差异时，则以正本为准，但是以下情形除外：</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w:t>
      </w:r>
      <w:r>
        <w:rPr>
          <w:rFonts w:hint="eastAsia" w:ascii="仿宋" w:hAnsi="仿宋" w:eastAsia="仿宋" w:cs="仿宋"/>
          <w:color w:val="auto"/>
          <w:sz w:val="24"/>
        </w:rPr>
        <w:t>当副本与正本不一致,副本中资料签字盖章内容完善、完整，并以原件呈现，完全符合采购文件各项规定要求的；</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经澄清程序，供应商现场确认的。副本可用正本的影印件。</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12.6</w:t>
      </w:r>
      <w:r>
        <w:rPr>
          <w:rFonts w:hint="eastAsia" w:ascii="仿宋" w:hAnsi="仿宋" w:eastAsia="仿宋" w:cs="仿宋"/>
          <w:color w:val="auto"/>
          <w:sz w:val="24"/>
        </w:rPr>
        <w:t>响应文件的正本必须使用不褪色、不变质的墨水书写或打印，并由供应商的法定代表人或其授权代表在规定签章处签字并盖章。响应文件副本可采用正本的影印件。</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12.7</w:t>
      </w:r>
      <w:r>
        <w:rPr>
          <w:rFonts w:hint="eastAsia" w:ascii="仿宋" w:hAnsi="仿宋" w:eastAsia="仿宋" w:cs="仿宋"/>
          <w:color w:val="auto"/>
          <w:sz w:val="24"/>
        </w:rPr>
        <w:t>响应文件的打印和书写应清楚工整，任何行间插字、涂改或增删，必须由供应商的法定代表人或其授权代表签字或盖个人印鉴。字迹潦草、表达不清等可能导致非唯一理解的情形的响应文件，评审委有权作出不利于供应商的评判。</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b w:val="0"/>
          <w:bCs w:val="0"/>
          <w:color w:val="auto"/>
          <w:sz w:val="24"/>
          <w:szCs w:val="24"/>
          <w:lang w:val="en-US" w:eastAsia="zh-CN"/>
        </w:rPr>
        <w:t>12.8</w:t>
      </w:r>
      <w:r>
        <w:rPr>
          <w:rFonts w:hint="eastAsia" w:ascii="仿宋" w:hAnsi="仿宋" w:eastAsia="仿宋" w:cs="仿宋"/>
          <w:b/>
          <w:bCs/>
          <w:color w:val="auto"/>
          <w:sz w:val="24"/>
          <w:szCs w:val="24"/>
        </w:rPr>
        <w:t>（实质性要求）</w:t>
      </w:r>
      <w:r>
        <w:rPr>
          <w:rFonts w:hint="eastAsia" w:ascii="仿宋" w:hAnsi="仿宋" w:eastAsia="仿宋" w:cs="仿宋"/>
          <w:color w:val="auto"/>
          <w:sz w:val="24"/>
        </w:rPr>
        <w:t>响应文件应由供应商法定代表人(主要负责人)或其授权代表在响应文件要求的地方签字（注：供应商为法人的，应当由其法定代表人或者授权代表签字确认；供应商为其他组织的，应当由其主要负责人或者授权代表签字确认；供应商为自然人的，应当由其本人或者授权代表签字确认）或加盖私人印章，要求加盖公章的地方加盖单位公章，不得使用专用章（如经济合同章、投标专用章等）或下属单位印章代替。</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12.9</w:t>
      </w:r>
      <w:r>
        <w:rPr>
          <w:rFonts w:hint="eastAsia" w:ascii="仿宋" w:hAnsi="仿宋" w:eastAsia="仿宋" w:cs="仿宋"/>
          <w:color w:val="auto"/>
          <w:sz w:val="24"/>
        </w:rPr>
        <w:t>响应文件正本和副本必须无钉左侧胶装并逐页编码，资格性响应文件和其他响应文件应分册装订。</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12.10</w:t>
      </w:r>
      <w:r>
        <w:rPr>
          <w:rFonts w:hint="eastAsia" w:ascii="仿宋" w:hAnsi="仿宋" w:eastAsia="仿宋" w:cs="仿宋"/>
          <w:color w:val="auto"/>
          <w:sz w:val="24"/>
        </w:rPr>
        <w:t>响应文件应根据</w:t>
      </w:r>
      <w:r>
        <w:rPr>
          <w:rFonts w:hint="eastAsia" w:ascii="仿宋" w:hAnsi="仿宋" w:eastAsia="仿宋" w:cs="仿宋"/>
          <w:color w:val="auto"/>
          <w:sz w:val="24"/>
          <w:lang w:eastAsia="zh-CN"/>
        </w:rPr>
        <w:t>谈判</w:t>
      </w:r>
      <w:r>
        <w:rPr>
          <w:rFonts w:hint="eastAsia" w:ascii="仿宋" w:hAnsi="仿宋" w:eastAsia="仿宋" w:cs="仿宋"/>
          <w:color w:val="auto"/>
          <w:sz w:val="24"/>
        </w:rPr>
        <w:t>文件的要求制作，签署、盖章和内容应完整。</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12.11</w:t>
      </w:r>
      <w:r>
        <w:rPr>
          <w:rFonts w:hint="eastAsia" w:ascii="仿宋" w:hAnsi="仿宋" w:eastAsia="仿宋" w:cs="仿宋"/>
          <w:color w:val="auto"/>
          <w:sz w:val="24"/>
        </w:rPr>
        <w:t>响应文件统一用A4幅面纸印制。</w:t>
      </w:r>
    </w:p>
    <w:p>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12.12</w:t>
      </w:r>
      <w:r>
        <w:rPr>
          <w:rFonts w:hint="eastAsia" w:ascii="仿宋" w:hAnsi="仿宋" w:eastAsia="仿宋" w:cs="仿宋"/>
          <w:color w:val="auto"/>
          <w:sz w:val="24"/>
        </w:rPr>
        <w:t>响应文件电子</w:t>
      </w:r>
      <w:r>
        <w:rPr>
          <w:rFonts w:hint="eastAsia" w:ascii="仿宋" w:hAnsi="仿宋" w:eastAsia="仿宋" w:cs="仿宋"/>
          <w:color w:val="auto"/>
          <w:sz w:val="24"/>
          <w:lang w:eastAsia="zh-CN"/>
        </w:rPr>
        <w:t>文档</w:t>
      </w:r>
      <w:r>
        <w:rPr>
          <w:rFonts w:hint="eastAsia" w:ascii="仿宋" w:hAnsi="仿宋" w:eastAsia="仿宋" w:cs="仿宋"/>
          <w:color w:val="auto"/>
          <w:sz w:val="24"/>
        </w:rPr>
        <w:t>须包含资格性响应文件和其他响应文件两部分，并制作为PDF格式文件，并拷贝到空白U盘中，U盘表面应标注供应商名称；供应商递交的电子</w:t>
      </w:r>
      <w:r>
        <w:rPr>
          <w:rFonts w:hint="eastAsia" w:ascii="仿宋" w:hAnsi="仿宋" w:eastAsia="仿宋" w:cs="仿宋"/>
          <w:color w:val="auto"/>
          <w:sz w:val="24"/>
          <w:lang w:eastAsia="zh-CN"/>
        </w:rPr>
        <w:t>文档</w:t>
      </w:r>
      <w:r>
        <w:rPr>
          <w:rFonts w:hint="eastAsia" w:ascii="仿宋" w:hAnsi="仿宋" w:eastAsia="仿宋" w:cs="仿宋"/>
          <w:color w:val="auto"/>
          <w:sz w:val="24"/>
        </w:rPr>
        <w:t>与纸质版正本不得出现实质性不一致（如内容不齐全、模糊不清等）的任何情形。</w:t>
      </w:r>
    </w:p>
    <w:p>
      <w:pPr>
        <w:widowControl/>
        <w:spacing w:line="360" w:lineRule="auto"/>
        <w:ind w:firstLine="480"/>
        <w:jc w:val="both"/>
        <w:rPr>
          <w:rFonts w:hint="eastAsia" w:ascii="仿宋" w:hAnsi="仿宋" w:eastAsia="仿宋" w:cs="仿宋"/>
          <w:b/>
          <w:bCs/>
          <w:color w:val="auto"/>
          <w:sz w:val="24"/>
        </w:rPr>
      </w:pPr>
      <w:r>
        <w:rPr>
          <w:rFonts w:hint="eastAsia" w:ascii="仿宋" w:hAnsi="仿宋" w:eastAsia="仿宋" w:cs="仿宋"/>
          <w:b/>
          <w:bCs/>
          <w:color w:val="auto"/>
          <w:sz w:val="24"/>
        </w:rPr>
        <w:t>注：响应文件电子</w:t>
      </w:r>
      <w:r>
        <w:rPr>
          <w:rFonts w:hint="eastAsia" w:ascii="仿宋" w:hAnsi="仿宋" w:eastAsia="仿宋" w:cs="仿宋"/>
          <w:b/>
          <w:bCs/>
          <w:color w:val="auto"/>
          <w:sz w:val="24"/>
          <w:lang w:eastAsia="zh-CN"/>
        </w:rPr>
        <w:t>文档</w:t>
      </w:r>
      <w:r>
        <w:rPr>
          <w:rFonts w:hint="eastAsia" w:ascii="仿宋" w:hAnsi="仿宋" w:eastAsia="仿宋" w:cs="仿宋"/>
          <w:b/>
          <w:bCs/>
          <w:color w:val="auto"/>
          <w:sz w:val="24"/>
        </w:rPr>
        <w:t>制作的参考方法：响应文件纸质版正本按照</w:t>
      </w:r>
      <w:r>
        <w:rPr>
          <w:rFonts w:hint="eastAsia" w:ascii="仿宋" w:hAnsi="仿宋" w:eastAsia="仿宋" w:cs="仿宋"/>
          <w:b/>
          <w:bCs/>
          <w:color w:val="auto"/>
          <w:sz w:val="24"/>
          <w:lang w:eastAsia="zh-CN"/>
        </w:rPr>
        <w:t>谈判</w:t>
      </w:r>
      <w:r>
        <w:rPr>
          <w:rFonts w:hint="eastAsia" w:ascii="仿宋" w:hAnsi="仿宋" w:eastAsia="仿宋" w:cs="仿宋"/>
          <w:b/>
          <w:bCs/>
          <w:color w:val="auto"/>
          <w:sz w:val="24"/>
        </w:rPr>
        <w:t>文件要求制作完毕后（签字盖章完毕并检查无误），先按页码逐页（包括封面）进行彩色扫描，扫描完成后再将纸质版正本胶装成册，扫描形成的图像文件依序制作成一个PDF格式文件。</w:t>
      </w:r>
    </w:p>
    <w:p>
      <w:pPr>
        <w:widowControl/>
        <w:spacing w:line="360" w:lineRule="auto"/>
        <w:ind w:firstLine="480"/>
        <w:jc w:val="both"/>
        <w:rPr>
          <w:rFonts w:hint="eastAsia" w:ascii="仿宋" w:hAnsi="仿宋" w:eastAsia="仿宋" w:cs="仿宋"/>
          <w:b/>
          <w:bCs/>
          <w:color w:val="auto"/>
          <w:sz w:val="24"/>
        </w:rPr>
      </w:pPr>
    </w:p>
    <w:p>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13.</w:t>
      </w:r>
      <w:r>
        <w:rPr>
          <w:rFonts w:hint="eastAsia" w:ascii="仿宋" w:hAnsi="仿宋" w:eastAsia="仿宋" w:cs="仿宋"/>
          <w:b/>
          <w:bCs/>
          <w:color w:val="auto"/>
          <w:sz w:val="24"/>
        </w:rPr>
        <w:t>响应文件的密封和标注</w:t>
      </w:r>
    </w:p>
    <w:p>
      <w:pPr>
        <w:widowControl/>
        <w:spacing w:line="360" w:lineRule="auto"/>
        <w:ind w:firstLine="480" w:firstLineChars="20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13.1供应商应在响应文件正本和所有副本的封面上注明供应商名称、项目编号、项目名称及分包号（如有分包）及“资格性响应文件”、“其他响应文件”、“报价响应文件”和“电子文档”字样，</w:t>
      </w:r>
      <w:r>
        <w:rPr>
          <w:rFonts w:hint="eastAsia" w:ascii="仿宋" w:hAnsi="仿宋" w:eastAsia="仿宋" w:cs="仿宋"/>
          <w:b/>
          <w:bCs/>
          <w:color w:val="auto"/>
          <w:sz w:val="24"/>
          <w:lang w:val="en-US" w:eastAsia="zh-CN"/>
        </w:rPr>
        <w:t>“资格性响应文件”、“其他响应文件”、“报价响应文件”</w:t>
      </w:r>
      <w:r>
        <w:rPr>
          <w:rFonts w:hint="eastAsia" w:ascii="仿宋" w:hAnsi="仿宋" w:eastAsia="仿宋" w:cs="仿宋"/>
          <w:color w:val="auto"/>
          <w:sz w:val="24"/>
          <w:lang w:val="en-US" w:eastAsia="zh-CN"/>
        </w:rPr>
        <w:t>和</w:t>
      </w:r>
      <w:r>
        <w:rPr>
          <w:rFonts w:hint="eastAsia" w:ascii="仿宋" w:hAnsi="仿宋" w:eastAsia="仿宋" w:cs="仿宋"/>
          <w:b/>
          <w:bCs/>
          <w:color w:val="auto"/>
          <w:sz w:val="24"/>
          <w:lang w:val="en-US" w:eastAsia="zh-CN"/>
        </w:rPr>
        <w:t>“电子文档”</w:t>
      </w:r>
      <w:r>
        <w:rPr>
          <w:rFonts w:hint="eastAsia" w:ascii="仿宋" w:hAnsi="仿宋" w:eastAsia="仿宋" w:cs="仿宋"/>
          <w:color w:val="auto"/>
          <w:sz w:val="24"/>
          <w:lang w:val="en-US" w:eastAsia="zh-CN"/>
        </w:rPr>
        <w:t>均需单独密封。</w:t>
      </w:r>
    </w:p>
    <w:p>
      <w:pPr>
        <w:widowControl/>
        <w:spacing w:line="360" w:lineRule="auto"/>
        <w:ind w:firstLine="48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13.2每一密封件上应注明“于　　年　　月　　日　　时　　分之前不准启封”字样（报价响应文件除外），所有外层密封袋的封口处应粘贴牢固，并加盖密封章（供应商公章）。</w:t>
      </w:r>
    </w:p>
    <w:p>
      <w:pPr>
        <w:widowControl/>
        <w:spacing w:line="360" w:lineRule="auto"/>
        <w:ind w:firstLine="48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13.3如未按以上规定密封和标记，采购代理机构对响应文件的误投或提前拆封不负责任。对由此造成提前开封的响应文件，采购代理机构将有权拒绝并退回。</w:t>
      </w:r>
    </w:p>
    <w:p>
      <w:pPr>
        <w:widowControl/>
        <w:spacing w:line="360" w:lineRule="auto"/>
        <w:ind w:firstLine="480"/>
        <w:jc w:val="both"/>
        <w:rPr>
          <w:rFonts w:hint="eastAsia" w:ascii="仿宋" w:hAnsi="仿宋" w:eastAsia="仿宋" w:cs="仿宋"/>
          <w:color w:val="auto"/>
          <w:sz w:val="24"/>
          <w:lang w:val="en-US" w:eastAsia="zh-CN"/>
        </w:rPr>
      </w:pPr>
    </w:p>
    <w:p>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14.</w:t>
      </w:r>
      <w:r>
        <w:rPr>
          <w:rFonts w:hint="eastAsia" w:ascii="仿宋" w:hAnsi="仿宋" w:eastAsia="仿宋" w:cs="仿宋"/>
          <w:b/>
          <w:bCs/>
          <w:color w:val="auto"/>
          <w:sz w:val="24"/>
        </w:rPr>
        <w:t>响应文件的递交</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14</w:t>
      </w:r>
      <w:r>
        <w:rPr>
          <w:rFonts w:hint="eastAsia" w:ascii="仿宋" w:hAnsi="仿宋" w:eastAsia="仿宋" w:cs="仿宋"/>
          <w:color w:val="auto"/>
          <w:sz w:val="24"/>
        </w:rPr>
        <w:t>.</w:t>
      </w:r>
      <w:r>
        <w:rPr>
          <w:rFonts w:hint="eastAsia" w:ascii="仿宋" w:hAnsi="仿宋" w:eastAsia="仿宋" w:cs="仿宋"/>
          <w:color w:val="auto"/>
          <w:sz w:val="24"/>
          <w:lang w:val="en-US" w:eastAsia="zh-CN"/>
        </w:rPr>
        <w:t>1</w:t>
      </w:r>
      <w:r>
        <w:rPr>
          <w:rFonts w:hint="eastAsia" w:ascii="仿宋" w:hAnsi="仿宋" w:eastAsia="仿宋" w:cs="仿宋"/>
          <w:color w:val="auto"/>
          <w:sz w:val="24"/>
        </w:rPr>
        <w:t>供应商应在</w:t>
      </w:r>
      <w:r>
        <w:rPr>
          <w:rFonts w:hint="eastAsia" w:ascii="仿宋" w:hAnsi="仿宋" w:eastAsia="仿宋" w:cs="仿宋"/>
          <w:bCs/>
          <w:color w:val="auto"/>
          <w:sz w:val="24"/>
        </w:rPr>
        <w:t>竞争性谈判文件</w:t>
      </w:r>
      <w:r>
        <w:rPr>
          <w:rFonts w:hint="eastAsia" w:ascii="仿宋" w:hAnsi="仿宋" w:eastAsia="仿宋" w:cs="仿宋"/>
          <w:color w:val="auto"/>
          <w:sz w:val="24"/>
        </w:rPr>
        <w:t>规定的递交响应文件截止时间前，将响应文件按</w:t>
      </w:r>
      <w:r>
        <w:rPr>
          <w:rFonts w:hint="eastAsia" w:ascii="仿宋" w:hAnsi="仿宋" w:eastAsia="仿宋" w:cs="仿宋"/>
          <w:bCs/>
          <w:color w:val="auto"/>
          <w:sz w:val="24"/>
        </w:rPr>
        <w:t>竞争性谈判文件</w:t>
      </w:r>
      <w:r>
        <w:rPr>
          <w:rFonts w:hint="eastAsia" w:ascii="仿宋" w:hAnsi="仿宋" w:eastAsia="仿宋" w:cs="仿宋"/>
          <w:color w:val="auto"/>
          <w:sz w:val="24"/>
        </w:rPr>
        <w:t>的规定密封后送达递交响应文件地点。递交响应文件截止时间以后送达的响应文件将不予接收，采购单位将告知供应商不予接收的原因。</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14.2</w:t>
      </w:r>
      <w:r>
        <w:rPr>
          <w:rFonts w:hint="eastAsia" w:ascii="仿宋" w:hAnsi="仿宋" w:eastAsia="仿宋" w:cs="仿宋"/>
          <w:color w:val="auto"/>
          <w:sz w:val="24"/>
        </w:rPr>
        <w:t>递交响应文件时，报名供应商名称和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的文号、分包号应当与供应商名称和响应文件的文号、分包号一致。但是，响应文件实质内容报名供应商名称和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的文号、分包号一致，只是封面文字错误的，可以在评审过程中当面予以澄清，以有效的澄清材料作为认定响应文件是否有效的依据。</w:t>
      </w:r>
    </w:p>
    <w:p>
      <w:pPr>
        <w:widowControl/>
        <w:spacing w:line="360" w:lineRule="auto"/>
        <w:ind w:firstLine="480"/>
        <w:jc w:val="both"/>
        <w:rPr>
          <w:rFonts w:hint="eastAsia" w:ascii="仿宋" w:eastAsia="仿宋" w:cs="仿宋"/>
          <w:color w:val="auto"/>
          <w:sz w:val="24"/>
          <w:szCs w:val="24"/>
          <w:lang w:val="en-US" w:eastAsia="zh-CN"/>
        </w:rPr>
      </w:pPr>
      <w:r>
        <w:rPr>
          <w:rFonts w:hint="eastAsia" w:ascii="仿宋" w:eastAsia="仿宋" w:cs="仿宋"/>
          <w:color w:val="auto"/>
          <w:sz w:val="24"/>
          <w:szCs w:val="24"/>
          <w:lang w:val="en-US" w:eastAsia="zh-CN"/>
        </w:rPr>
        <w:t>14.3“最后报价一览表”在谈判后，由谈判小组要求供应商进行最后报价时，单独放在报价响应文件袋内密封后递交。</w:t>
      </w:r>
    </w:p>
    <w:p>
      <w:pPr>
        <w:widowControl/>
        <w:spacing w:line="360" w:lineRule="auto"/>
        <w:ind w:firstLine="480"/>
        <w:jc w:val="both"/>
        <w:rPr>
          <w:rFonts w:ascii="仿宋" w:eastAsia="仿宋" w:cs="仿宋"/>
          <w:color w:val="auto"/>
          <w:sz w:val="24"/>
        </w:rPr>
      </w:pPr>
      <w:r>
        <w:rPr>
          <w:rFonts w:hint="eastAsia" w:ascii="仿宋" w:eastAsia="仿宋" w:cs="仿宋"/>
          <w:color w:val="auto"/>
          <w:sz w:val="24"/>
          <w:szCs w:val="24"/>
          <w:lang w:val="en-US" w:eastAsia="zh-CN"/>
        </w:rPr>
        <w:t>14.4本次采购不接收邮寄的响应文件。</w:t>
      </w:r>
    </w:p>
    <w:p>
      <w:pPr>
        <w:pStyle w:val="12"/>
        <w:spacing w:line="360" w:lineRule="auto"/>
        <w:ind w:firstLine="480"/>
        <w:rPr>
          <w:color w:val="auto"/>
        </w:rPr>
      </w:pPr>
    </w:p>
    <w:p>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15.</w:t>
      </w:r>
      <w:r>
        <w:rPr>
          <w:rFonts w:hint="eastAsia" w:ascii="仿宋" w:hAnsi="仿宋" w:eastAsia="仿宋" w:cs="仿宋"/>
          <w:b/>
          <w:bCs/>
          <w:color w:val="auto"/>
          <w:sz w:val="24"/>
        </w:rPr>
        <w:t xml:space="preserve">响应文件的修改和撤回 </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1供应商在提交响应文件后可对其响应文件进行修改或撤销，但该修改或撤销的书面通知须在递交截止时间之前送达采购代理机构，补充、修改的内容作为响应文件的组成部分。该通知需经正式授权的供应商代表签字方为有效。供应商在提交响应文件截止时间前，可以对所提交的响应文件进行补充、修改或者撤回，补充、修改的内容与响应文件不一致的，以补充、修改的内容为准。</w:t>
      </w:r>
    </w:p>
    <w:p>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.2供应商对响应文件修改的书面材料或撤销的通知应该按本章的规定进行编写、密封、标注和递送，并注明“修改”或“撤销”字样。</w:t>
      </w:r>
    </w:p>
    <w:p>
      <w:pPr>
        <w:adjustRightInd w:val="0"/>
        <w:snapToGrid w:val="0"/>
        <w:spacing w:line="360" w:lineRule="auto"/>
        <w:ind w:firstLine="480" w:firstLineChars="200"/>
        <w:jc w:val="both"/>
        <w:rPr>
          <w:rFonts w:ascii="仿宋" w:hAnsi="仿宋" w:eastAsia="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.3供应商不得在递交截止时间起至响应文件有效期期满前撤销其响应文件，否则将认定其响应文件有效期的承诺为虚假承诺，并依法追究其法律责任。</w:t>
      </w:r>
    </w:p>
    <w:p>
      <w:pPr>
        <w:spacing w:line="360" w:lineRule="auto"/>
        <w:ind w:firstLine="480" w:firstLineChars="200"/>
        <w:outlineLvl w:val="9"/>
        <w:rPr>
          <w:rFonts w:ascii="仿宋" w:hAnsi="仿宋" w:eastAsia="仿宋" w:cs="仿宋"/>
          <w:b/>
          <w:color w:val="auto"/>
          <w:sz w:val="24"/>
        </w:rPr>
      </w:pPr>
      <w:r>
        <w:rPr>
          <w:rFonts w:hint="eastAsia" w:ascii="仿宋" w:hAnsi="仿宋" w:eastAsia="仿宋" w:cs="仿宋"/>
          <w:bCs/>
          <w:color w:val="auto"/>
          <w:sz w:val="24"/>
          <w:lang w:val="en-US" w:eastAsia="zh-CN"/>
        </w:rPr>
        <w:t>15</w:t>
      </w:r>
      <w:r>
        <w:rPr>
          <w:rFonts w:hint="eastAsia" w:ascii="仿宋" w:hAnsi="仿宋" w:eastAsia="仿宋" w:cs="仿宋"/>
          <w:bCs/>
          <w:color w:val="auto"/>
          <w:sz w:val="24"/>
        </w:rPr>
        <w:t>.4</w:t>
      </w:r>
      <w:r>
        <w:rPr>
          <w:rFonts w:hint="eastAsia" w:ascii="仿宋" w:hAnsi="仿宋" w:eastAsia="仿宋" w:cs="仿宋"/>
          <w:color w:val="auto"/>
          <w:sz w:val="24"/>
        </w:rPr>
        <w:t>供应商对其提交的响应文件的真实性、合法性承担法律责任。</w:t>
      </w:r>
    </w:p>
    <w:p>
      <w:pPr>
        <w:pStyle w:val="5"/>
        <w:keepNext w:val="0"/>
        <w:spacing w:before="313" w:beforeLines="100" w:after="313" w:afterLines="100" w:line="360" w:lineRule="auto"/>
        <w:jc w:val="center"/>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五</w:t>
      </w: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评审</w:t>
      </w:r>
    </w:p>
    <w:p>
      <w:pPr>
        <w:keepNext w:val="0"/>
        <w:spacing w:before="313" w:beforeLines="100" w:after="313" w:afterLines="100" w:line="360" w:lineRule="auto"/>
        <w:ind w:firstLine="480" w:firstLineChars="200"/>
        <w:jc w:val="center"/>
        <w:outlineLvl w:val="9"/>
        <w:rPr>
          <w:rFonts w:hint="eastAsia" w:ascii="仿宋" w:hAnsi="仿宋" w:eastAsia="仿宋" w:cs="仿宋"/>
          <w:color w:val="auto"/>
          <w:sz w:val="30"/>
          <w:szCs w:val="30"/>
          <w:lang w:eastAsia="zh-CN"/>
        </w:rPr>
      </w:pPr>
      <w:r>
        <w:rPr>
          <w:rFonts w:hint="eastAsia" w:ascii="仿宋" w:hAnsi="仿宋" w:eastAsia="仿宋" w:cs="仿宋"/>
          <w:b w:val="0"/>
          <w:bCs w:val="0"/>
          <w:color w:val="auto"/>
          <w:sz w:val="24"/>
          <w:szCs w:val="24"/>
          <w:lang w:eastAsia="zh-CN"/>
        </w:rPr>
        <w:t>谈判</w:t>
      </w:r>
      <w:r>
        <w:rPr>
          <w:rFonts w:hint="eastAsia" w:ascii="仿宋" w:hAnsi="仿宋" w:eastAsia="仿宋" w:cs="仿宋"/>
          <w:b w:val="0"/>
          <w:bCs w:val="0"/>
          <w:color w:val="auto"/>
          <w:sz w:val="24"/>
          <w:szCs w:val="24"/>
        </w:rPr>
        <w:t>小组的组建及其评审工作按照有关法律制度和本文件第</w:t>
      </w:r>
      <w:r>
        <w:rPr>
          <w:rFonts w:hint="eastAsia" w:ascii="仿宋" w:hAnsi="仿宋" w:eastAsia="仿宋" w:cs="仿宋"/>
          <w:b w:val="0"/>
          <w:bCs w:val="0"/>
          <w:color w:val="auto"/>
          <w:sz w:val="24"/>
          <w:szCs w:val="24"/>
          <w:lang w:eastAsia="zh-CN"/>
        </w:rPr>
        <w:t>八</w:t>
      </w:r>
      <w:r>
        <w:rPr>
          <w:rFonts w:hint="eastAsia" w:ascii="仿宋" w:hAnsi="仿宋" w:eastAsia="仿宋" w:cs="仿宋"/>
          <w:b w:val="0"/>
          <w:bCs w:val="0"/>
          <w:color w:val="auto"/>
          <w:sz w:val="24"/>
          <w:szCs w:val="24"/>
        </w:rPr>
        <w:t>章的规定进行。</w:t>
      </w:r>
    </w:p>
    <w:p>
      <w:pPr>
        <w:pStyle w:val="5"/>
        <w:keepNext w:val="0"/>
        <w:spacing w:before="313" w:beforeLines="100" w:after="313" w:afterLines="100" w:line="360" w:lineRule="auto"/>
        <w:jc w:val="center"/>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六、成交</w:t>
      </w:r>
    </w:p>
    <w:p>
      <w:pPr>
        <w:keepNext w:val="0"/>
        <w:spacing w:line="360" w:lineRule="auto"/>
        <w:ind w:firstLine="482" w:firstLineChars="200"/>
        <w:outlineLvl w:val="9"/>
        <w:rPr>
          <w:rFonts w:hint="eastAsia" w:ascii="仿宋" w:hAnsi="仿宋" w:eastAsia="仿宋" w:cs="仿宋"/>
          <w:b/>
          <w:bCs/>
          <w:color w:val="auto"/>
          <w:sz w:val="24"/>
        </w:rPr>
      </w:pPr>
      <w:r>
        <w:rPr>
          <w:rFonts w:hint="eastAsia" w:ascii="仿宋" w:hAnsi="仿宋" w:eastAsia="仿宋" w:cs="仿宋"/>
          <w:b/>
          <w:bCs/>
          <w:color w:val="auto"/>
          <w:sz w:val="24"/>
          <w:lang w:val="en-US" w:eastAsia="zh-CN"/>
        </w:rPr>
        <w:t>16.</w:t>
      </w:r>
      <w:r>
        <w:rPr>
          <w:rFonts w:hint="eastAsia" w:ascii="仿宋" w:hAnsi="仿宋" w:eastAsia="仿宋" w:cs="仿宋"/>
          <w:b/>
          <w:bCs/>
          <w:color w:val="auto"/>
          <w:sz w:val="24"/>
        </w:rPr>
        <w:t>确定成交供应商</w:t>
      </w:r>
    </w:p>
    <w:p>
      <w:pPr>
        <w:keepNext w:val="0"/>
        <w:spacing w:line="360" w:lineRule="auto"/>
        <w:ind w:firstLine="480" w:firstLineChars="200"/>
        <w:outlineLvl w:val="9"/>
        <w:rPr>
          <w:rFonts w:hint="eastAsia" w:ascii="仿宋" w:hAnsi="仿宋" w:eastAsia="仿宋" w:cs="仿宋"/>
          <w:b w:val="0"/>
          <w:bCs/>
          <w:color w:val="auto"/>
          <w:sz w:val="24"/>
          <w:lang w:val="en-US" w:eastAsia="zh-CN"/>
        </w:rPr>
      </w:pPr>
      <w:r>
        <w:rPr>
          <w:rFonts w:hint="eastAsia" w:ascii="仿宋" w:hAnsi="仿宋" w:eastAsia="仿宋" w:cs="仿宋"/>
          <w:b w:val="0"/>
          <w:bCs/>
          <w:color w:val="auto"/>
          <w:sz w:val="24"/>
          <w:lang w:val="en-US" w:eastAsia="zh-CN"/>
        </w:rPr>
        <w:t>16.1确定成交供应商方式</w:t>
      </w:r>
    </w:p>
    <w:p>
      <w:pPr>
        <w:spacing w:line="360" w:lineRule="auto"/>
        <w:ind w:firstLine="480" w:firstLineChars="200"/>
        <w:outlineLvl w:val="9"/>
        <w:rPr>
          <w:rFonts w:hint="eastAsia" w:ascii="仿宋" w:hAnsi="仿宋" w:eastAsia="仿宋" w:cs="仿宋"/>
          <w:b w:val="0"/>
          <w:bCs/>
          <w:color w:val="auto"/>
          <w:sz w:val="24"/>
        </w:rPr>
      </w:pPr>
      <w:r>
        <w:rPr>
          <w:rFonts w:hint="eastAsia" w:ascii="仿宋" w:hAnsi="仿宋" w:eastAsia="仿宋" w:cs="仿宋"/>
          <w:b w:val="0"/>
          <w:bCs/>
          <w:color w:val="auto"/>
          <w:sz w:val="24"/>
        </w:rPr>
        <w:t>（1）采购代理机构自评审结束后2个工作日内将评审报告及有关资料送交采购人确定成交供应商。采购人收到评审报告及有关资料后，将在5个工作日内按照评审报告中推荐的成交候选供应商顺序确定成交供应商。采购人逾期未确定成交供应商且不提出异议的，视为确定评审报告提出的排序第一的供应商为成交供应商。</w:t>
      </w:r>
    </w:p>
    <w:p>
      <w:pPr>
        <w:spacing w:line="360" w:lineRule="auto"/>
        <w:ind w:firstLine="480" w:firstLineChars="200"/>
        <w:outlineLvl w:val="9"/>
        <w:rPr>
          <w:rFonts w:hint="eastAsia" w:ascii="仿宋" w:hAnsi="仿宋" w:eastAsia="仿宋" w:cs="仿宋"/>
          <w:b w:val="0"/>
          <w:bCs/>
          <w:color w:val="auto"/>
          <w:sz w:val="24"/>
        </w:rPr>
      </w:pPr>
      <w:r>
        <w:rPr>
          <w:rFonts w:hint="eastAsia" w:ascii="仿宋" w:hAnsi="仿宋" w:eastAsia="仿宋" w:cs="仿宋"/>
          <w:b w:val="0"/>
          <w:bCs/>
          <w:color w:val="auto"/>
          <w:sz w:val="24"/>
        </w:rPr>
        <w:t>（2）由采购人授权</w:t>
      </w:r>
      <w:r>
        <w:rPr>
          <w:rFonts w:hint="eastAsia" w:ascii="仿宋" w:hAnsi="仿宋" w:eastAsia="仿宋" w:cs="仿宋"/>
          <w:b w:val="0"/>
          <w:bCs/>
          <w:color w:val="auto"/>
          <w:sz w:val="24"/>
          <w:lang w:eastAsia="zh-CN"/>
        </w:rPr>
        <w:t>谈判</w:t>
      </w:r>
      <w:r>
        <w:rPr>
          <w:rFonts w:hint="eastAsia" w:ascii="仿宋" w:hAnsi="仿宋" w:eastAsia="仿宋" w:cs="仿宋"/>
          <w:b w:val="0"/>
          <w:bCs/>
          <w:color w:val="auto"/>
          <w:sz w:val="24"/>
        </w:rPr>
        <w:t>小组确定成交供应商。</w:t>
      </w:r>
    </w:p>
    <w:p>
      <w:pPr>
        <w:spacing w:line="360" w:lineRule="auto"/>
        <w:ind w:firstLine="480" w:firstLineChars="200"/>
        <w:outlineLvl w:val="9"/>
        <w:rPr>
          <w:rFonts w:hint="eastAsia" w:ascii="仿宋" w:hAnsi="仿宋" w:eastAsia="仿宋" w:cs="仿宋"/>
          <w:color w:val="auto"/>
          <w:sz w:val="24"/>
        </w:rPr>
      </w:pPr>
      <w:r>
        <w:rPr>
          <w:rFonts w:hint="eastAsia" w:ascii="仿宋" w:hAnsi="仿宋" w:eastAsia="仿宋" w:cs="仿宋"/>
          <w:b w:val="0"/>
          <w:bCs/>
          <w:color w:val="auto"/>
          <w:sz w:val="24"/>
        </w:rPr>
        <w:t>本项目采用第（1）种方式确定成交供应商。</w:t>
      </w:r>
    </w:p>
    <w:p>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16</w:t>
      </w:r>
      <w:r>
        <w:rPr>
          <w:rFonts w:ascii="仿宋" w:hAnsi="仿宋" w:eastAsia="仿宋" w:cs="仿宋"/>
          <w:b w:val="0"/>
          <w:color w:val="auto"/>
          <w:sz w:val="24"/>
        </w:rPr>
        <w:t>.</w:t>
      </w:r>
      <w:r>
        <w:rPr>
          <w:rFonts w:hint="eastAsia" w:ascii="仿宋" w:hAnsi="仿宋" w:eastAsia="仿宋" w:cs="仿宋"/>
          <w:b w:val="0"/>
          <w:color w:val="auto"/>
          <w:sz w:val="24"/>
          <w:lang w:val="en-US" w:eastAsia="zh-CN"/>
        </w:rPr>
        <w:t>2</w:t>
      </w:r>
      <w:r>
        <w:rPr>
          <w:rFonts w:hint="eastAsia" w:ascii="仿宋" w:hAnsi="仿宋" w:eastAsia="仿宋" w:cs="仿宋"/>
          <w:b w:val="0"/>
          <w:color w:val="auto"/>
          <w:sz w:val="24"/>
        </w:rPr>
        <w:t>采购人确定成交供应商过程中，发现成交候选供应商有下列情形之一的，不予确定其为成交供应商：</w:t>
      </w:r>
    </w:p>
    <w:p>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1</w:t>
      </w:r>
      <w:r>
        <w:rPr>
          <w:rFonts w:hint="eastAsia" w:ascii="仿宋" w:hAnsi="仿宋" w:eastAsia="仿宋" w:cs="仿宋"/>
          <w:b w:val="0"/>
          <w:color w:val="auto"/>
          <w:sz w:val="24"/>
        </w:rPr>
        <w:t>）成交候选供应商属于禁止参加本项目采购活动的；</w:t>
      </w:r>
    </w:p>
    <w:p>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2</w:t>
      </w:r>
      <w:r>
        <w:rPr>
          <w:rFonts w:hint="eastAsia" w:ascii="仿宋" w:hAnsi="仿宋" w:eastAsia="仿宋" w:cs="仿宋"/>
          <w:b w:val="0"/>
          <w:color w:val="auto"/>
          <w:sz w:val="24"/>
        </w:rPr>
        <w:t>）成交候选供应商因不可抗力，不能继续参加政府采购活动；</w:t>
      </w:r>
    </w:p>
    <w:p>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3</w:t>
      </w:r>
      <w:r>
        <w:rPr>
          <w:rFonts w:hint="eastAsia" w:ascii="仿宋" w:hAnsi="仿宋" w:eastAsia="仿宋" w:cs="仿宋"/>
          <w:b w:val="0"/>
          <w:color w:val="auto"/>
          <w:sz w:val="24"/>
        </w:rPr>
        <w:t>）成交候选供应商无偿赠与或者低于成本价竞争；</w:t>
      </w:r>
    </w:p>
    <w:p>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4</w:t>
      </w:r>
      <w:r>
        <w:rPr>
          <w:rFonts w:hint="eastAsia" w:ascii="仿宋" w:hAnsi="仿宋" w:eastAsia="仿宋" w:cs="仿宋"/>
          <w:b w:val="0"/>
          <w:color w:val="auto"/>
          <w:sz w:val="24"/>
        </w:rPr>
        <w:t>）成交候选供应商提供虚假材料；</w:t>
      </w:r>
    </w:p>
    <w:p>
      <w:pPr>
        <w:keepNext w:val="0"/>
        <w:spacing w:line="360" w:lineRule="auto"/>
        <w:ind w:firstLine="480" w:firstLineChars="200"/>
        <w:rPr>
          <w:rFonts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5</w:t>
      </w:r>
      <w:r>
        <w:rPr>
          <w:rFonts w:hint="eastAsia" w:ascii="仿宋" w:hAnsi="仿宋" w:eastAsia="仿宋" w:cs="仿宋"/>
          <w:b w:val="0"/>
          <w:color w:val="auto"/>
          <w:sz w:val="24"/>
        </w:rPr>
        <w:t>）成交候选供应商恶意串通。</w:t>
      </w:r>
    </w:p>
    <w:p>
      <w:pPr>
        <w:spacing w:line="360" w:lineRule="auto"/>
        <w:ind w:firstLine="480" w:firstLineChars="0"/>
        <w:rPr>
          <w:rFonts w:ascii="仿宋" w:hAnsi="仿宋" w:eastAsia="仿宋" w:cs="仿宋"/>
          <w:color w:val="auto"/>
          <w:sz w:val="24"/>
        </w:rPr>
      </w:pPr>
      <w:r>
        <w:rPr>
          <w:rFonts w:hint="eastAsia" w:ascii="仿宋" w:hAnsi="仿宋" w:eastAsia="仿宋" w:cs="仿宋"/>
          <w:color w:val="auto"/>
          <w:sz w:val="24"/>
        </w:rPr>
        <w:t>成交候选供应商有本条情形之一的，采购人可以确定后一位成交候选供应商为成交供应商，依次类推。无法确定成交供应商的，应当重新组织采购。</w:t>
      </w:r>
    </w:p>
    <w:p>
      <w:pPr>
        <w:keepNext w:val="0"/>
        <w:spacing w:line="360" w:lineRule="auto"/>
        <w:ind w:firstLine="480" w:firstLineChars="200"/>
        <w:outlineLvl w:val="9"/>
        <w:rPr>
          <w:rFonts w:hint="eastAsia" w:ascii="仿宋" w:hAnsi="仿宋" w:eastAsia="仿宋" w:cs="仿宋"/>
          <w:color w:val="auto"/>
          <w:sz w:val="24"/>
        </w:rPr>
      </w:pPr>
    </w:p>
    <w:p>
      <w:pPr>
        <w:keepNext w:val="0"/>
        <w:spacing w:line="360" w:lineRule="auto"/>
        <w:ind w:firstLine="482" w:firstLineChars="200"/>
        <w:outlineLvl w:val="9"/>
        <w:rPr>
          <w:rFonts w:ascii="仿宋" w:hAnsi="仿宋" w:eastAsia="仿宋"/>
          <w:b/>
          <w:bCs/>
          <w:color w:val="auto"/>
          <w:sz w:val="24"/>
        </w:rPr>
      </w:pPr>
      <w:r>
        <w:rPr>
          <w:rFonts w:hint="eastAsia" w:ascii="仿宋" w:hAnsi="仿宋" w:eastAsia="仿宋" w:cs="仿宋"/>
          <w:b/>
          <w:bCs/>
          <w:color w:val="auto"/>
          <w:sz w:val="24"/>
          <w:lang w:val="en-US" w:eastAsia="zh-CN"/>
        </w:rPr>
        <w:t>17.</w:t>
      </w:r>
      <w:r>
        <w:rPr>
          <w:rFonts w:hint="eastAsia" w:ascii="仿宋" w:hAnsi="仿宋" w:eastAsia="仿宋" w:cs="仿宋"/>
          <w:b/>
          <w:bCs/>
          <w:color w:val="auto"/>
          <w:sz w:val="24"/>
        </w:rPr>
        <w:t>成交结果</w:t>
      </w:r>
    </w:p>
    <w:p>
      <w:pPr>
        <w:spacing w:line="360" w:lineRule="auto"/>
        <w:ind w:firstLine="480"/>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1</w:t>
      </w:r>
      <w:r>
        <w:rPr>
          <w:rFonts w:hint="eastAsia" w:ascii="仿宋" w:hAnsi="仿宋" w:eastAsia="仿宋" w:cs="仿宋"/>
          <w:color w:val="auto"/>
          <w:sz w:val="24"/>
        </w:rPr>
        <w:t>采购人确定成交供应商后，将及时书面通知采购代理机构，</w:t>
      </w:r>
      <w:r>
        <w:rPr>
          <w:rFonts w:hint="eastAsia" w:ascii="仿宋" w:hAnsi="仿宋" w:eastAsia="仿宋" w:cs="仿宋"/>
          <w:bCs/>
          <w:color w:val="auto"/>
          <w:sz w:val="24"/>
        </w:rPr>
        <w:t>采购代理机构将根据确定的成交供应商</w:t>
      </w:r>
      <w:r>
        <w:rPr>
          <w:rFonts w:hint="eastAsia" w:ascii="仿宋" w:hAnsi="仿宋" w:eastAsia="仿宋" w:cs="仿宋"/>
          <w:bCs/>
          <w:color w:val="auto"/>
          <w:sz w:val="24"/>
          <w:lang w:eastAsia="zh-CN"/>
        </w:rPr>
        <w:t>发布成交结果公告</w:t>
      </w:r>
      <w:r>
        <w:rPr>
          <w:rFonts w:hint="eastAsia" w:ascii="仿宋" w:hAnsi="仿宋" w:eastAsia="仿宋" w:cs="仿宋"/>
          <w:bCs/>
          <w:color w:val="auto"/>
          <w:sz w:val="24"/>
        </w:rPr>
        <w:t>，</w:t>
      </w:r>
      <w:r>
        <w:rPr>
          <w:rFonts w:hint="eastAsia" w:ascii="仿宋" w:hAnsi="仿宋" w:eastAsia="仿宋" w:cs="仿宋"/>
          <w:bCs/>
          <w:color w:val="auto"/>
          <w:sz w:val="24"/>
          <w:lang w:eastAsia="zh-CN"/>
        </w:rPr>
        <w:t>并</w:t>
      </w:r>
      <w:r>
        <w:rPr>
          <w:rFonts w:hint="eastAsia" w:ascii="仿宋" w:hAnsi="仿宋" w:eastAsia="仿宋" w:cs="仿宋"/>
          <w:bCs/>
          <w:color w:val="auto"/>
          <w:sz w:val="24"/>
        </w:rPr>
        <w:t>电话通知成交供应商，同时向成交供应商发出成交通知书。</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.2</w:t>
      </w:r>
      <w:r>
        <w:rPr>
          <w:rFonts w:hint="eastAsia" w:ascii="仿宋" w:hAnsi="仿宋" w:eastAsia="仿宋" w:cs="仿宋"/>
          <w:color w:val="auto"/>
          <w:sz w:val="24"/>
        </w:rPr>
        <w:t>成交供应商应当及时领取成交通知书。本项目需要交纳履约保证金的，成交供应商应当及时向采购人交纳。</w:t>
      </w:r>
    </w:p>
    <w:p>
      <w:pPr>
        <w:spacing w:line="360" w:lineRule="auto"/>
        <w:ind w:firstLine="465"/>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.3</w:t>
      </w:r>
      <w:r>
        <w:rPr>
          <w:rFonts w:hint="eastAsia" w:ascii="仿宋" w:hAnsi="仿宋" w:eastAsia="仿宋" w:cs="仿宋"/>
          <w:color w:val="auto"/>
          <w:sz w:val="24"/>
        </w:rPr>
        <w:t>成交供应商不能及时领取成交通知书，采购人或者采购代理机</w:t>
      </w:r>
      <w:r>
        <w:rPr>
          <w:rFonts w:hint="eastAsia" w:ascii="仿宋" w:hAnsi="仿宋" w:eastAsia="仿宋" w:cs="仿宋"/>
          <w:color w:val="auto"/>
          <w:sz w:val="24"/>
          <w:lang w:eastAsia="zh-CN"/>
        </w:rPr>
        <w:t>构</w:t>
      </w:r>
      <w:r>
        <w:rPr>
          <w:rFonts w:hint="eastAsia" w:ascii="仿宋" w:hAnsi="仿宋" w:eastAsia="仿宋" w:cs="仿宋"/>
          <w:color w:val="auto"/>
          <w:sz w:val="24"/>
        </w:rPr>
        <w:t>应当通过邮寄、快递等方式将项目成交通知书送达成交供应商。</w:t>
      </w:r>
    </w:p>
    <w:p>
      <w:pPr>
        <w:spacing w:line="360" w:lineRule="auto"/>
        <w:ind w:firstLine="480"/>
        <w:rPr>
          <w:rFonts w:hint="eastAsia" w:ascii="仿宋" w:hAnsi="仿宋" w:eastAsia="仿宋" w:cs="仿宋"/>
          <w:bCs/>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w:t>
      </w:r>
      <w:r>
        <w:rPr>
          <w:rFonts w:hint="eastAsia" w:ascii="仿宋" w:hAnsi="仿宋" w:eastAsia="仿宋" w:cs="仿宋"/>
          <w:color w:val="auto"/>
          <w:sz w:val="24"/>
        </w:rPr>
        <w:t>4</w:t>
      </w:r>
      <w:r>
        <w:rPr>
          <w:rFonts w:hint="eastAsia" w:ascii="仿宋" w:hAnsi="仿宋" w:eastAsia="仿宋" w:cs="仿宋"/>
          <w:bCs/>
          <w:color w:val="auto"/>
          <w:sz w:val="24"/>
        </w:rPr>
        <w:t>采购单位不解释成交或</w:t>
      </w:r>
      <w:r>
        <w:rPr>
          <w:rFonts w:hint="eastAsia" w:ascii="仿宋" w:hAnsi="仿宋" w:eastAsia="仿宋" w:cs="仿宋"/>
          <w:bCs/>
          <w:color w:val="auto"/>
          <w:sz w:val="24"/>
          <w:lang w:eastAsia="zh-CN"/>
        </w:rPr>
        <w:t>未成交</w:t>
      </w:r>
      <w:r>
        <w:rPr>
          <w:rFonts w:hint="eastAsia" w:ascii="仿宋" w:hAnsi="仿宋" w:eastAsia="仿宋" w:cs="仿宋"/>
          <w:bCs/>
          <w:color w:val="auto"/>
          <w:sz w:val="24"/>
        </w:rPr>
        <w:t>原因，不退回响应文件和其他响应资料。</w:t>
      </w:r>
    </w:p>
    <w:p>
      <w:pPr>
        <w:spacing w:line="360" w:lineRule="auto"/>
        <w:ind w:firstLine="480"/>
        <w:rPr>
          <w:rFonts w:ascii="仿宋" w:hAnsi="仿宋" w:eastAsia="仿宋"/>
          <w:color w:val="auto"/>
          <w:sz w:val="24"/>
        </w:rPr>
      </w:pPr>
    </w:p>
    <w:p>
      <w:pPr>
        <w:keepNext w:val="0"/>
        <w:spacing w:line="360" w:lineRule="auto"/>
        <w:ind w:firstLine="482" w:firstLineChars="200"/>
        <w:outlineLvl w:val="9"/>
        <w:rPr>
          <w:rFonts w:ascii="仿宋" w:hAnsi="仿宋" w:eastAsia="仿宋"/>
          <w:b/>
          <w:bCs/>
          <w:color w:val="auto"/>
          <w:sz w:val="24"/>
        </w:rPr>
      </w:pPr>
      <w:r>
        <w:rPr>
          <w:rFonts w:hint="eastAsia" w:ascii="仿宋" w:hAnsi="仿宋" w:eastAsia="仿宋" w:cs="仿宋"/>
          <w:b/>
          <w:bCs/>
          <w:color w:val="auto"/>
          <w:sz w:val="24"/>
          <w:lang w:val="en-US" w:eastAsia="zh-CN"/>
        </w:rPr>
        <w:t>18.</w:t>
      </w:r>
      <w:r>
        <w:rPr>
          <w:rFonts w:hint="eastAsia" w:ascii="仿宋" w:hAnsi="仿宋" w:eastAsia="仿宋" w:cs="仿宋"/>
          <w:b/>
          <w:bCs/>
          <w:color w:val="auto"/>
          <w:sz w:val="24"/>
        </w:rPr>
        <w:t>成交通知书</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18</w:t>
      </w:r>
      <w:r>
        <w:rPr>
          <w:rFonts w:ascii="仿宋" w:hAnsi="仿宋" w:eastAsia="仿宋" w:cs="仿宋"/>
          <w:b w:val="0"/>
          <w:color w:val="auto"/>
          <w:sz w:val="24"/>
        </w:rPr>
        <w:t>.1</w:t>
      </w:r>
      <w:r>
        <w:rPr>
          <w:rFonts w:hint="eastAsia" w:ascii="仿宋" w:hAnsi="仿宋" w:eastAsia="仿宋" w:cs="仿宋"/>
          <w:b w:val="0"/>
          <w:color w:val="auto"/>
          <w:sz w:val="24"/>
        </w:rPr>
        <w:t>成交通知书为签订采购合同的依据之一，是合同的有效组成部分。</w:t>
      </w:r>
    </w:p>
    <w:p>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18</w:t>
      </w:r>
      <w:r>
        <w:rPr>
          <w:rFonts w:ascii="仿宋" w:hAnsi="仿宋" w:eastAsia="仿宋" w:cs="仿宋"/>
          <w:b w:val="0"/>
          <w:color w:val="auto"/>
          <w:sz w:val="24"/>
        </w:rPr>
        <w:t>.2</w:t>
      </w:r>
      <w:r>
        <w:rPr>
          <w:rFonts w:hint="eastAsia" w:ascii="仿宋" w:hAnsi="仿宋" w:eastAsia="仿宋" w:cs="仿宋"/>
          <w:b w:val="0"/>
          <w:color w:val="auto"/>
          <w:sz w:val="24"/>
        </w:rPr>
        <w:t>成交通知书对采购人和成交供应商均具有法律效力。成交通知书发出后，采购人无正当理由改变成交结果，或者成交供应商无正当理由放弃成交的，将承担相应的法律责任。</w:t>
      </w:r>
    </w:p>
    <w:p>
      <w:pPr>
        <w:keepNext w:val="0"/>
        <w:spacing w:line="360" w:lineRule="auto"/>
        <w:ind w:firstLine="480" w:firstLineChars="200"/>
        <w:outlineLvl w:val="9"/>
        <w:rPr>
          <w:rFonts w:ascii="仿宋" w:hAnsi="仿宋" w:eastAsia="仿宋"/>
          <w:b w:val="0"/>
          <w:bCs/>
          <w:color w:val="auto"/>
          <w:sz w:val="24"/>
        </w:rPr>
      </w:pPr>
      <w:r>
        <w:rPr>
          <w:rFonts w:hint="eastAsia" w:ascii="仿宋" w:eastAsia="仿宋" w:cs="仿宋"/>
          <w:b w:val="0"/>
          <w:bCs/>
          <w:color w:val="auto"/>
          <w:sz w:val="24"/>
          <w:lang w:val="en-US" w:eastAsia="zh-CN"/>
        </w:rPr>
        <w:t>18</w:t>
      </w:r>
      <w:r>
        <w:rPr>
          <w:rFonts w:ascii="仿宋" w:eastAsia="仿宋" w:cs="仿宋"/>
          <w:b w:val="0"/>
          <w:bCs/>
          <w:color w:val="auto"/>
          <w:sz w:val="24"/>
        </w:rPr>
        <w:t>.3</w:t>
      </w:r>
      <w:r>
        <w:rPr>
          <w:rFonts w:hint="eastAsia" w:ascii="仿宋" w:eastAsia="仿宋" w:cs="仿宋"/>
          <w:b w:val="0"/>
          <w:bCs/>
          <w:color w:val="auto"/>
          <w:sz w:val="24"/>
        </w:rPr>
        <w:t>成交供应商的响应文件作为无效响应文件处理或者有政府采购法律法规规章制度规定的成交无效情形的，采购人</w:t>
      </w:r>
      <w:r>
        <w:rPr>
          <w:rFonts w:hint="eastAsia" w:ascii="仿宋" w:eastAsia="仿宋" w:cs="仿宋"/>
          <w:b w:val="0"/>
          <w:bCs/>
          <w:color w:val="auto"/>
          <w:sz w:val="24"/>
          <w:lang w:eastAsia="zh-CN"/>
        </w:rPr>
        <w:t>或</w:t>
      </w:r>
      <w:r>
        <w:rPr>
          <w:rFonts w:hint="eastAsia" w:ascii="仿宋" w:eastAsia="仿宋" w:cs="仿宋"/>
          <w:b w:val="0"/>
          <w:bCs/>
          <w:color w:val="auto"/>
          <w:sz w:val="24"/>
        </w:rPr>
        <w:t>采购代理机构在取得有权主体的认定以后，有权宣布发出的成交通知书无效，并收回发出的成交通知书，依法重新确定成交供应商或者重新开展采购活动。</w:t>
      </w:r>
    </w:p>
    <w:p>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七、合同事项</w:t>
      </w:r>
    </w:p>
    <w:p>
      <w:pPr>
        <w:spacing w:line="360" w:lineRule="auto"/>
        <w:rPr>
          <w:rFonts w:ascii="仿宋" w:hAnsi="仿宋" w:eastAsia="仿宋" w:cs="仿宋"/>
          <w:b/>
          <w:color w:val="auto"/>
          <w:sz w:val="24"/>
        </w:rPr>
      </w:pPr>
      <w:r>
        <w:rPr>
          <w:rFonts w:hint="eastAsia" w:ascii="仿宋" w:hAnsi="仿宋" w:eastAsia="仿宋" w:cs="仿宋"/>
          <w:b/>
          <w:color w:val="auto"/>
          <w:sz w:val="24"/>
          <w:lang w:val="en-US" w:eastAsia="zh-CN"/>
        </w:rPr>
        <w:t>19.</w:t>
      </w:r>
      <w:r>
        <w:rPr>
          <w:rFonts w:hint="eastAsia" w:ascii="仿宋" w:hAnsi="仿宋" w:eastAsia="仿宋" w:cs="仿宋"/>
          <w:b/>
          <w:color w:val="auto"/>
          <w:sz w:val="24"/>
        </w:rPr>
        <w:t>签订合同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.1成交供应商在收到成交通知书后，应在规定的时间内与采购人签订采购合同。由于成交供应商的原因逾期未与采购人签订采购合同的，将视为放弃成交，取消其成交资格并将按相关规定进行处理；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.2采购人不得向成交供应商提出任何不合理的要求，作为签订合同的条件，不得与成交供应商私下订立背离合同实质性内容的任何协议，所签订的合同不得对竞争性谈判文件和成交供应商响应文件作实质性修改；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.3成交供应商因不可抗力原因不能履行采购合同或放弃成交的，采购人可以与排在成交供应商之后第一位的成交候选人签订采购合同，以此类推；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4在签订合同前，采购人有权对成交人响应文件中相关材料的原件进行审查核实，并将响应文件作为合同的一部分。若发现响应文件中相关材料存在虚假响应的，将不予签订合同，并报相关监督检查部门进行处理。若发生以上情况，采购人可以与排在成交供应商之后第一位的成交候选人签订采购合同，以此类推；</w:t>
      </w:r>
    </w:p>
    <w:p>
      <w:pPr>
        <w:spacing w:line="360" w:lineRule="auto"/>
        <w:ind w:firstLine="482"/>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.5成交供应商在合同签订之后3个工作日内，</w:t>
      </w:r>
      <w:r>
        <w:rPr>
          <w:rFonts w:hint="eastAsia" w:ascii="仿宋" w:hAnsi="仿宋" w:eastAsia="仿宋" w:cs="仿宋"/>
          <w:color w:val="auto"/>
          <w:sz w:val="24"/>
        </w:rPr>
        <w:t>将签订的合同送采购代理机构进行合同编号。</w:t>
      </w:r>
      <w:r>
        <w:rPr>
          <w:rFonts w:hint="eastAsia" w:ascii="仿宋" w:hAnsi="仿宋" w:eastAsia="仿宋" w:cs="仿宋"/>
          <w:bCs/>
          <w:color w:val="auto"/>
          <w:sz w:val="24"/>
        </w:rPr>
        <w:t>将签订的合同1份送采购代理机构备案。</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19</w:t>
      </w:r>
      <w:r>
        <w:rPr>
          <w:rFonts w:hint="eastAsia" w:ascii="仿宋" w:hAnsi="仿宋" w:eastAsia="仿宋" w:cs="仿宋"/>
          <w:color w:val="auto"/>
          <w:sz w:val="24"/>
        </w:rPr>
        <w:t>.6竞争性谈判文件、成交供应商提交的响应文件、谈判中的最后报价、成交供应商承诺书、成交通知书等均称为有法律约束力的合同组成内容。</w:t>
      </w:r>
    </w:p>
    <w:p>
      <w:pPr>
        <w:spacing w:line="360" w:lineRule="auto"/>
        <w:ind w:firstLine="482" w:firstLineChars="200"/>
        <w:rPr>
          <w:rFonts w:hint="eastAsia" w:ascii="仿宋" w:hAnsi="仿宋" w:eastAsia="仿宋" w:cs="仿宋"/>
          <w:b/>
          <w:color w:val="auto"/>
          <w:sz w:val="24"/>
          <w:lang w:val="en-US" w:eastAsia="zh-CN"/>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20.</w:t>
      </w:r>
      <w:r>
        <w:rPr>
          <w:rFonts w:hint="eastAsia" w:ascii="仿宋" w:hAnsi="仿宋" w:eastAsia="仿宋" w:cs="仿宋"/>
          <w:b/>
          <w:color w:val="auto"/>
          <w:sz w:val="24"/>
        </w:rPr>
        <w:t>合同分包（实质性要求）</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lang w:val="en-US" w:eastAsia="zh-CN"/>
        </w:rPr>
        <w:t>20.1</w:t>
      </w:r>
      <w:r>
        <w:rPr>
          <w:rFonts w:hint="eastAsia" w:ascii="仿宋" w:hAnsi="仿宋" w:eastAsia="仿宋" w:cs="仿宋"/>
          <w:color w:val="auto"/>
          <w:sz w:val="24"/>
          <w:szCs w:val="24"/>
          <w:highlight w:val="none"/>
        </w:rPr>
        <w:t>本项目合同接受分包与否，以“供应商须知附表”</w:t>
      </w:r>
      <w:r>
        <w:rPr>
          <w:rFonts w:hint="eastAsia" w:ascii="仿宋" w:hAnsi="仿宋" w:eastAsia="仿宋" w:cs="仿宋"/>
          <w:color w:val="auto"/>
          <w:sz w:val="24"/>
          <w:szCs w:val="24"/>
          <w:highlight w:val="none"/>
          <w:lang w:eastAsia="zh-CN"/>
        </w:rPr>
        <w:t>要求</w:t>
      </w:r>
      <w:r>
        <w:rPr>
          <w:rFonts w:hint="eastAsia" w:ascii="仿宋" w:hAnsi="仿宋" w:eastAsia="仿宋" w:cs="仿宋"/>
          <w:color w:val="auto"/>
          <w:sz w:val="24"/>
          <w:szCs w:val="24"/>
          <w:highlight w:val="none"/>
        </w:rPr>
        <w:t>为准。</w:t>
      </w:r>
    </w:p>
    <w:p>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lang w:val="en-US" w:eastAsia="zh-CN"/>
        </w:rPr>
        <w:t>20.2允许分包的，</w:t>
      </w:r>
      <w:r>
        <w:rPr>
          <w:rFonts w:hint="eastAsia" w:ascii="仿宋" w:hAnsi="仿宋" w:eastAsia="仿宋" w:cs="仿宋"/>
          <w:color w:val="auto"/>
          <w:sz w:val="24"/>
          <w:szCs w:val="24"/>
          <w:lang w:val="en-US" w:eastAsia="zh-CN"/>
        </w:rPr>
        <w:t>经采购人同意，成交供应商可以</w:t>
      </w:r>
      <w:r>
        <w:rPr>
          <w:rFonts w:hint="eastAsia" w:ascii="仿宋" w:hAnsi="仿宋" w:eastAsia="仿宋" w:cs="仿宋"/>
          <w:color w:val="auto"/>
          <w:sz w:val="24"/>
        </w:rPr>
        <w:t>将非主体、非关键性工作</w:t>
      </w:r>
      <w:r>
        <w:rPr>
          <w:rFonts w:hint="eastAsia" w:ascii="仿宋" w:hAnsi="仿宋" w:eastAsia="仿宋" w:cs="仿宋"/>
          <w:color w:val="auto"/>
          <w:sz w:val="24"/>
          <w:szCs w:val="24"/>
          <w:lang w:val="en-US" w:eastAsia="zh-CN"/>
        </w:rPr>
        <w:t>依法采取分包方式履行合同，但必须在响应文件中事前载明。这种要求应当在合同签订之前征得采购人同意，并且分包供应商履行的分包项目的品牌、规格型号及技术要求等，必须与成交的一致</w:t>
      </w:r>
      <w:r>
        <w:rPr>
          <w:rFonts w:hint="eastAsia" w:ascii="仿宋" w:hAnsi="仿宋" w:eastAsia="仿宋" w:cs="仿宋"/>
          <w:color w:val="auto"/>
          <w:sz w:val="24"/>
          <w:lang w:eastAsia="zh-CN"/>
        </w:rPr>
        <w:t>；</w:t>
      </w:r>
      <w:r>
        <w:rPr>
          <w:rFonts w:hint="eastAsia" w:ascii="仿宋" w:hAnsi="仿宋" w:eastAsia="仿宋" w:cs="仿宋"/>
          <w:color w:val="auto"/>
          <w:sz w:val="24"/>
        </w:rPr>
        <w:t>未经采购人同意，成交供应商不得分包</w:t>
      </w:r>
      <w:r>
        <w:rPr>
          <w:rFonts w:hint="eastAsia" w:ascii="仿宋" w:hAnsi="仿宋" w:eastAsia="仿宋" w:cs="仿宋"/>
          <w:color w:val="auto"/>
          <w:sz w:val="24"/>
          <w:lang w:eastAsia="zh-CN"/>
        </w:rPr>
        <w:t>。</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20.3</w:t>
      </w:r>
      <w:r>
        <w:rPr>
          <w:rFonts w:hint="eastAsia" w:ascii="仿宋" w:hAnsi="仿宋" w:eastAsia="仿宋" w:cs="仿宋"/>
          <w:color w:val="auto"/>
          <w:sz w:val="24"/>
        </w:rPr>
        <w:t>采购合同分包履行的，成交供应商就采购项目和分包项目向采购人负责，分包供应商就分包项目承担责任。</w:t>
      </w:r>
    </w:p>
    <w:p>
      <w:pPr>
        <w:spacing w:line="360" w:lineRule="auto"/>
        <w:rPr>
          <w:rFonts w:hint="eastAsia" w:ascii="仿宋" w:hAnsi="仿宋" w:eastAsia="仿宋" w:cs="仿宋"/>
          <w:b/>
          <w:color w:val="auto"/>
          <w:sz w:val="24"/>
          <w:lang w:val="en-US" w:eastAsia="zh-CN"/>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21.</w:t>
      </w:r>
      <w:r>
        <w:rPr>
          <w:rFonts w:hint="eastAsia" w:ascii="仿宋" w:hAnsi="仿宋" w:eastAsia="仿宋" w:cs="仿宋"/>
          <w:b/>
          <w:color w:val="auto"/>
          <w:sz w:val="24"/>
        </w:rPr>
        <w:t>合同转包（实质性要求）</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21.1</w:t>
      </w:r>
      <w:r>
        <w:rPr>
          <w:rFonts w:hint="eastAsia" w:ascii="仿宋" w:hAnsi="仿宋" w:eastAsia="仿宋" w:cs="仿宋"/>
          <w:bCs/>
          <w:color w:val="auto"/>
          <w:sz w:val="24"/>
        </w:rPr>
        <w:t>本采购项目严禁成交供应商将任何采购合同义务转包。本项目所称转包，是指成交供应商将采购合同义务转让给第三方，并退出现有采购合同当事人双方的权利义务关系，受让人（即第三方）成为采购合同的另一方当事人的行为。</w:t>
      </w:r>
    </w:p>
    <w:p>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lang w:val="en-US" w:eastAsia="zh-CN"/>
        </w:rPr>
        <w:t>21.2</w:t>
      </w:r>
      <w:r>
        <w:rPr>
          <w:rFonts w:hint="eastAsia" w:ascii="仿宋" w:hAnsi="仿宋" w:eastAsia="仿宋" w:cs="仿宋"/>
          <w:bCs/>
          <w:color w:val="auto"/>
          <w:sz w:val="24"/>
        </w:rPr>
        <w:t>成交供应商转包的，视同拒绝履行采购合同义务，将依法追究法律责任。</w:t>
      </w:r>
    </w:p>
    <w:p>
      <w:pPr>
        <w:spacing w:line="360" w:lineRule="auto"/>
        <w:ind w:firstLine="480"/>
        <w:rPr>
          <w:color w:val="auto"/>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bCs w:val="0"/>
          <w:color w:val="auto"/>
          <w:sz w:val="24"/>
          <w:lang w:eastAsia="zh-CN"/>
        </w:rPr>
        <w:t>2</w:t>
      </w:r>
      <w:r>
        <w:rPr>
          <w:rFonts w:hint="eastAsia" w:ascii="仿宋" w:hAnsi="仿宋" w:eastAsia="仿宋" w:cs="仿宋"/>
          <w:b/>
          <w:bCs w:val="0"/>
          <w:color w:val="auto"/>
          <w:sz w:val="24"/>
          <w:lang w:val="en-US" w:eastAsia="zh-CN"/>
        </w:rPr>
        <w:t>2.</w:t>
      </w:r>
      <w:r>
        <w:rPr>
          <w:rFonts w:hint="eastAsia" w:ascii="仿宋" w:hAnsi="仿宋" w:eastAsia="仿宋" w:cs="仿宋"/>
          <w:b/>
          <w:color w:val="auto"/>
          <w:sz w:val="24"/>
        </w:rPr>
        <w:t>补充合同</w:t>
      </w:r>
    </w:p>
    <w:p>
      <w:pPr>
        <w:spacing w:line="360" w:lineRule="auto"/>
        <w:ind w:firstLine="492"/>
        <w:jc w:val="both"/>
        <w:rPr>
          <w:rFonts w:hint="eastAsia" w:ascii="仿宋" w:hAnsi="仿宋" w:eastAsia="仿宋" w:cs="仿宋"/>
          <w:bCs/>
          <w:color w:val="auto"/>
          <w:sz w:val="24"/>
        </w:rPr>
      </w:pPr>
      <w:r>
        <w:rPr>
          <w:rFonts w:hint="eastAsia" w:ascii="仿宋" w:hAnsi="仿宋" w:eastAsia="仿宋" w:cs="仿宋"/>
          <w:bCs/>
          <w:color w:val="auto"/>
          <w:sz w:val="24"/>
        </w:rPr>
        <w:t>采购合同履行过程中，采购人需要追加与合同标的相同的货物或者服务的，在不改变合同其他条款的前提下，可以与</w:t>
      </w:r>
      <w:r>
        <w:rPr>
          <w:rFonts w:hint="eastAsia" w:ascii="仿宋" w:hAnsi="仿宋" w:eastAsia="仿宋" w:cs="仿宋"/>
          <w:bCs/>
          <w:color w:val="auto"/>
          <w:sz w:val="24"/>
          <w:lang w:eastAsia="zh-CN"/>
        </w:rPr>
        <w:t>成交</w:t>
      </w:r>
      <w:r>
        <w:rPr>
          <w:rFonts w:hint="eastAsia" w:ascii="仿宋" w:hAnsi="仿宋" w:eastAsia="仿宋" w:cs="仿宋"/>
          <w:bCs/>
          <w:color w:val="auto"/>
          <w:sz w:val="24"/>
        </w:rPr>
        <w:t>供应商协商签订补充合同，</w:t>
      </w:r>
      <w:r>
        <w:rPr>
          <w:rFonts w:hint="eastAsia" w:ascii="仿宋" w:hAnsi="仿宋" w:eastAsia="仿宋" w:cs="仿宋"/>
          <w:color w:val="auto"/>
          <w:sz w:val="24"/>
          <w:szCs w:val="24"/>
          <w:highlight w:val="none"/>
        </w:rPr>
        <w:t>但所有补充合同的采购金额不得超过原合同采购金额的</w:t>
      </w:r>
      <w:r>
        <w:rPr>
          <w:rFonts w:hint="eastAsia" w:ascii="仿宋" w:hAnsi="仿宋" w:eastAsia="仿宋" w:cs="仿宋"/>
          <w:bCs/>
          <w:color w:val="auto"/>
          <w:sz w:val="24"/>
          <w:highlight w:val="non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bCs/>
          <w:color w:val="auto"/>
          <w:sz w:val="24"/>
        </w:rPr>
        <w:t>该补充合同应当在原采购合同履行过程中，不得在原采购合同履行结束后，且采购货物、工程和服务的名称、价格、履约方式、验收标准等必须与原采购合同一致。</w:t>
      </w:r>
    </w:p>
    <w:p>
      <w:pPr>
        <w:spacing w:line="360" w:lineRule="auto"/>
        <w:ind w:firstLine="492"/>
        <w:jc w:val="both"/>
        <w:rPr>
          <w:color w:val="auto"/>
        </w:rPr>
      </w:pPr>
    </w:p>
    <w:p>
      <w:pPr>
        <w:spacing w:line="360" w:lineRule="auto"/>
        <w:ind w:firstLine="482" w:firstLineChars="200"/>
        <w:rPr>
          <w:rFonts w:hint="eastAsia" w:ascii="仿宋" w:eastAsia="仿宋" w:cs="仿宋"/>
          <w:bCs/>
          <w:color w:val="auto"/>
          <w:sz w:val="24"/>
          <w:lang w:eastAsia="zh-CN"/>
        </w:rPr>
      </w:pPr>
      <w:r>
        <w:rPr>
          <w:rFonts w:hint="eastAsia" w:ascii="仿宋" w:hAnsi="仿宋" w:eastAsia="仿宋" w:cs="仿宋"/>
          <w:b/>
          <w:bCs w:val="0"/>
          <w:color w:val="auto"/>
          <w:sz w:val="24"/>
          <w:lang w:eastAsia="zh-CN"/>
        </w:rPr>
        <w:t>2</w:t>
      </w:r>
      <w:r>
        <w:rPr>
          <w:rFonts w:hint="eastAsia" w:ascii="仿宋" w:hAnsi="仿宋" w:eastAsia="仿宋" w:cs="仿宋"/>
          <w:b/>
          <w:bCs w:val="0"/>
          <w:color w:val="auto"/>
          <w:sz w:val="24"/>
          <w:lang w:val="en-US" w:eastAsia="zh-CN"/>
        </w:rPr>
        <w:t>3.</w:t>
      </w:r>
      <w:r>
        <w:rPr>
          <w:rFonts w:hint="eastAsia" w:ascii="仿宋" w:hAnsi="仿宋" w:eastAsia="仿宋" w:cs="仿宋"/>
          <w:b/>
          <w:color w:val="auto"/>
          <w:sz w:val="24"/>
        </w:rPr>
        <w:t>履约保证金</w:t>
      </w:r>
      <w:r>
        <w:rPr>
          <w:rFonts w:hint="eastAsia" w:ascii="仿宋" w:hAnsi="仿宋" w:eastAsia="仿宋" w:cs="仿宋"/>
          <w:b/>
          <w:color w:val="auto"/>
          <w:sz w:val="24"/>
          <w:lang w:eastAsia="zh-CN"/>
        </w:rPr>
        <w:t>（实质性要求）</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23</w:t>
      </w:r>
      <w:r>
        <w:rPr>
          <w:rFonts w:ascii="仿宋" w:hAnsi="仿宋" w:eastAsia="仿宋" w:cs="仿宋"/>
          <w:color w:val="auto"/>
          <w:sz w:val="24"/>
        </w:rPr>
        <w:t>.1</w:t>
      </w:r>
      <w:r>
        <w:rPr>
          <w:rFonts w:hint="eastAsia" w:ascii="仿宋" w:hAnsi="仿宋" w:eastAsia="仿宋" w:cs="仿宋"/>
          <w:bCs/>
          <w:sz w:val="24"/>
          <w:lang w:eastAsia="zh-CN"/>
        </w:rPr>
        <w:t>如</w:t>
      </w:r>
      <w:r>
        <w:rPr>
          <w:rFonts w:hint="eastAsia" w:ascii="仿宋" w:hAnsi="仿宋" w:eastAsia="仿宋" w:cs="仿宋"/>
          <w:sz w:val="24"/>
        </w:rPr>
        <w:t>竞争性</w:t>
      </w:r>
      <w:r>
        <w:rPr>
          <w:rFonts w:hint="eastAsia" w:ascii="仿宋" w:hAnsi="仿宋" w:eastAsia="仿宋" w:cs="仿宋"/>
          <w:sz w:val="24"/>
          <w:lang w:eastAsia="zh-CN"/>
        </w:rPr>
        <w:t>谈判</w:t>
      </w:r>
      <w:r>
        <w:rPr>
          <w:rFonts w:hint="eastAsia" w:ascii="仿宋" w:hAnsi="仿宋" w:eastAsia="仿宋" w:cs="仿宋"/>
          <w:bCs/>
          <w:sz w:val="24"/>
        </w:rPr>
        <w:t>文件</w:t>
      </w:r>
      <w:r>
        <w:rPr>
          <w:rFonts w:hint="eastAsia" w:ascii="仿宋" w:hAnsi="仿宋" w:eastAsia="仿宋" w:cs="仿宋"/>
          <w:bCs/>
          <w:sz w:val="24"/>
          <w:lang w:eastAsia="zh-CN"/>
        </w:rPr>
        <w:t>要求需要缴纳履约保证金的，</w:t>
      </w:r>
      <w:r>
        <w:rPr>
          <w:rFonts w:hint="eastAsia" w:ascii="仿宋" w:hAnsi="仿宋" w:eastAsia="仿宋" w:cs="仿宋"/>
          <w:color w:val="auto"/>
          <w:sz w:val="24"/>
        </w:rPr>
        <w:t>成交供应商应在合同签订之前交纳竞争性谈判文件规定数额的履约保证金。</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23</w:t>
      </w:r>
      <w:r>
        <w:rPr>
          <w:rFonts w:ascii="仿宋" w:hAnsi="仿宋" w:eastAsia="仿宋" w:cs="仿宋"/>
          <w:color w:val="auto"/>
          <w:sz w:val="24"/>
        </w:rPr>
        <w:t>.2</w:t>
      </w:r>
      <w:r>
        <w:rPr>
          <w:rFonts w:hint="eastAsia" w:ascii="仿宋" w:hAnsi="仿宋" w:eastAsia="仿宋" w:cs="仿宋"/>
          <w:color w:val="auto"/>
          <w:sz w:val="24"/>
        </w:rPr>
        <w:t>如果成交供应商在规定的合同签订时间内，没有按照采购文件的规定交纳履约保证金，且又无正当理由的，将视为放弃成交。</w:t>
      </w:r>
    </w:p>
    <w:p>
      <w:pPr>
        <w:spacing w:line="360" w:lineRule="auto"/>
        <w:ind w:firstLine="480" w:firstLineChars="200"/>
        <w:rPr>
          <w:rFonts w:hint="eastAsia" w:ascii="仿宋" w:eastAsia="仿宋" w:cs="仿宋"/>
          <w:bCs/>
          <w:color w:val="auto"/>
          <w:sz w:val="24"/>
          <w:highlight w:val="none"/>
          <w:lang w:val="en-US" w:eastAsia="zh-CN"/>
        </w:rPr>
      </w:pPr>
      <w:r>
        <w:rPr>
          <w:rFonts w:hint="eastAsia" w:ascii="仿宋" w:eastAsia="仿宋" w:cs="仿宋"/>
          <w:bCs/>
          <w:color w:val="auto"/>
          <w:sz w:val="24"/>
          <w:highlight w:val="none"/>
          <w:lang w:val="en-US" w:eastAsia="zh-CN"/>
        </w:rPr>
        <w:t>23.3</w:t>
      </w:r>
      <w:r>
        <w:rPr>
          <w:rFonts w:hint="eastAsia" w:ascii="仿宋" w:eastAsia="仿宋" w:cs="仿宋"/>
          <w:bCs/>
          <w:color w:val="auto"/>
          <w:sz w:val="24"/>
          <w:highlight w:val="none"/>
        </w:rPr>
        <w:t>成交</w:t>
      </w:r>
      <w:r>
        <w:rPr>
          <w:rFonts w:hint="eastAsia" w:ascii="仿宋" w:eastAsia="仿宋" w:cs="仿宋"/>
          <w:bCs/>
          <w:color w:val="auto"/>
          <w:sz w:val="24"/>
          <w:highlight w:val="none"/>
          <w:lang w:eastAsia="zh-CN"/>
        </w:rPr>
        <w:t>供应商</w:t>
      </w:r>
      <w:r>
        <w:rPr>
          <w:rFonts w:hint="eastAsia" w:ascii="仿宋" w:eastAsia="仿宋" w:cs="仿宋"/>
          <w:bCs/>
          <w:color w:val="auto"/>
          <w:sz w:val="24"/>
          <w:highlight w:val="none"/>
          <w:lang w:val="en-US" w:eastAsia="zh-CN"/>
        </w:rPr>
        <w:t>自行选择以支票、汇票、本票或者金融机构、担保机构出具的保函等非现金形式缴纳履约保证金。</w:t>
      </w:r>
    </w:p>
    <w:p>
      <w:pPr>
        <w:pStyle w:val="12"/>
        <w:spacing w:line="360" w:lineRule="auto"/>
        <w:ind w:firstLine="360" w:firstLineChars="200"/>
        <w:rPr>
          <w:color w:val="auto"/>
        </w:rPr>
      </w:pPr>
    </w:p>
    <w:p>
      <w:pPr>
        <w:spacing w:line="360" w:lineRule="auto"/>
        <w:ind w:firstLine="482" w:firstLineChars="200"/>
        <w:rPr>
          <w:rFonts w:hint="eastAsia" w:ascii="仿宋" w:hAnsi="仿宋" w:eastAsia="仿宋" w:cs="仿宋"/>
          <w:bCs/>
          <w:color w:val="auto"/>
          <w:sz w:val="24"/>
        </w:rPr>
      </w:pPr>
      <w:r>
        <w:rPr>
          <w:rFonts w:hint="eastAsia" w:ascii="仿宋" w:hAnsi="仿宋" w:eastAsia="仿宋" w:cs="仿宋"/>
          <w:b/>
          <w:color w:val="auto"/>
          <w:sz w:val="24"/>
          <w:lang w:val="en-US" w:eastAsia="zh-CN"/>
        </w:rPr>
        <w:t>24.</w:t>
      </w:r>
      <w:r>
        <w:rPr>
          <w:rFonts w:hint="eastAsia" w:ascii="仿宋" w:hAnsi="仿宋" w:eastAsia="仿宋" w:cs="仿宋"/>
          <w:b/>
          <w:color w:val="auto"/>
          <w:sz w:val="24"/>
        </w:rPr>
        <w:t>履行合同</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24</w:t>
      </w:r>
      <w:r>
        <w:rPr>
          <w:rFonts w:hint="eastAsia" w:ascii="仿宋" w:hAnsi="仿宋" w:eastAsia="仿宋" w:cs="仿宋"/>
          <w:bCs/>
          <w:color w:val="auto"/>
          <w:sz w:val="24"/>
        </w:rPr>
        <w:t>.1成交</w:t>
      </w:r>
      <w:r>
        <w:rPr>
          <w:rFonts w:hint="eastAsia" w:ascii="仿宋" w:hAnsi="仿宋" w:eastAsia="仿宋" w:cs="仿宋"/>
          <w:bCs/>
          <w:color w:val="auto"/>
          <w:sz w:val="24"/>
          <w:lang w:eastAsia="zh-CN"/>
        </w:rPr>
        <w:t>供应</w:t>
      </w:r>
      <w:r>
        <w:rPr>
          <w:rFonts w:hint="eastAsia" w:ascii="仿宋" w:hAnsi="仿宋" w:eastAsia="仿宋" w:cs="仿宋"/>
          <w:color w:val="auto"/>
          <w:sz w:val="24"/>
          <w:lang w:eastAsia="zh-CN"/>
        </w:rPr>
        <w:t>商</w:t>
      </w:r>
      <w:r>
        <w:rPr>
          <w:rFonts w:hint="eastAsia" w:ascii="仿宋" w:hAnsi="仿宋" w:eastAsia="仿宋" w:cs="仿宋"/>
          <w:color w:val="auto"/>
          <w:sz w:val="24"/>
        </w:rPr>
        <w:t>与采购</w:t>
      </w:r>
      <w:r>
        <w:rPr>
          <w:rFonts w:hint="eastAsia" w:ascii="仿宋" w:hAnsi="仿宋" w:eastAsia="仿宋" w:cs="仿宋"/>
          <w:bCs/>
          <w:color w:val="auto"/>
          <w:sz w:val="24"/>
        </w:rPr>
        <w:t>人签订合同后，合同双方应严格执行合同条款，履行合同规定的义务，保证合同的顺利完成；</w:t>
      </w:r>
    </w:p>
    <w:p>
      <w:pPr>
        <w:spacing w:line="360" w:lineRule="auto"/>
        <w:ind w:firstLine="482"/>
        <w:rPr>
          <w:rFonts w:hint="eastAsia" w:ascii="仿宋" w:hAnsi="仿宋" w:eastAsia="仿宋" w:cs="仿宋"/>
          <w:bCs/>
          <w:color w:val="auto"/>
          <w:sz w:val="24"/>
        </w:rPr>
      </w:pPr>
      <w:r>
        <w:rPr>
          <w:rFonts w:hint="eastAsia" w:ascii="仿宋" w:hAnsi="仿宋" w:eastAsia="仿宋" w:cs="仿宋"/>
          <w:bCs/>
          <w:color w:val="auto"/>
          <w:sz w:val="24"/>
          <w:lang w:val="en-US" w:eastAsia="zh-CN"/>
        </w:rPr>
        <w:t>24</w:t>
      </w:r>
      <w:r>
        <w:rPr>
          <w:rFonts w:hint="eastAsia" w:ascii="仿宋" w:hAnsi="仿宋" w:eastAsia="仿宋" w:cs="仿宋"/>
          <w:bCs/>
          <w:color w:val="auto"/>
          <w:sz w:val="24"/>
        </w:rPr>
        <w:t>.2在合同履行过程中，如发生合同纠纷，合同双方应按照《</w:t>
      </w:r>
      <w:r>
        <w:rPr>
          <w:rFonts w:hint="eastAsia" w:ascii="仿宋" w:hAnsi="仿宋" w:eastAsia="仿宋" w:cs="仿宋"/>
          <w:bCs/>
          <w:color w:val="auto"/>
          <w:sz w:val="24"/>
          <w:szCs w:val="24"/>
          <w:lang w:val="zh-CN"/>
        </w:rPr>
        <w:t>中华人民共和国</w:t>
      </w:r>
      <w:r>
        <w:rPr>
          <w:rFonts w:hint="eastAsia" w:ascii="仿宋" w:hAnsi="仿宋" w:eastAsia="仿宋" w:cs="仿宋"/>
          <w:bCs/>
          <w:color w:val="auto"/>
          <w:sz w:val="24"/>
        </w:rPr>
        <w:t>民法典》的有关规定进行处理。</w:t>
      </w:r>
    </w:p>
    <w:p>
      <w:pPr>
        <w:spacing w:line="360" w:lineRule="auto"/>
        <w:ind w:firstLine="482"/>
        <w:rPr>
          <w:color w:val="auto"/>
        </w:rPr>
      </w:pPr>
    </w:p>
    <w:p>
      <w:pPr>
        <w:spacing w:line="360" w:lineRule="auto"/>
        <w:ind w:firstLine="482" w:firstLineChars="200"/>
        <w:rPr>
          <w:rFonts w:ascii="仿宋" w:hAnsi="仿宋" w:eastAsia="仿宋" w:cs="仿宋"/>
          <w:bCs/>
          <w:color w:val="auto"/>
          <w:sz w:val="24"/>
        </w:rPr>
      </w:pPr>
      <w:r>
        <w:rPr>
          <w:rFonts w:hint="eastAsia" w:ascii="仿宋" w:hAnsi="仿宋" w:eastAsia="仿宋" w:cs="仿宋"/>
          <w:b/>
          <w:bCs/>
          <w:color w:val="auto"/>
          <w:sz w:val="24"/>
          <w:lang w:val="en-US" w:eastAsia="zh-CN"/>
        </w:rPr>
        <w:t>25.</w:t>
      </w:r>
      <w:r>
        <w:rPr>
          <w:rFonts w:hint="eastAsia" w:ascii="仿宋" w:hAnsi="仿宋" w:eastAsia="仿宋" w:cs="仿宋"/>
          <w:b/>
          <w:color w:val="auto"/>
          <w:sz w:val="24"/>
        </w:rPr>
        <w:t>验收</w:t>
      </w:r>
    </w:p>
    <w:p>
      <w:pPr>
        <w:spacing w:line="360" w:lineRule="auto"/>
        <w:ind w:firstLine="491"/>
        <w:rPr>
          <w:rFonts w:ascii="仿宋" w:eastAsia="仿宋" w:cs="仿宋"/>
          <w:bCs/>
          <w:color w:val="auto"/>
          <w:sz w:val="24"/>
        </w:rPr>
      </w:pPr>
      <w:r>
        <w:rPr>
          <w:rFonts w:hint="eastAsia" w:ascii="仿宋" w:eastAsia="仿宋" w:cs="仿宋"/>
          <w:bCs/>
          <w:color w:val="auto"/>
          <w:sz w:val="24"/>
          <w:lang w:val="en-US" w:eastAsia="zh-CN"/>
        </w:rPr>
        <w:t>25</w:t>
      </w:r>
      <w:r>
        <w:rPr>
          <w:rFonts w:hint="eastAsia" w:ascii="仿宋" w:eastAsia="仿宋" w:cs="仿宋"/>
          <w:bCs/>
          <w:color w:val="auto"/>
          <w:sz w:val="24"/>
        </w:rPr>
        <w:t>.1本项目采购人将严格按照采购</w:t>
      </w:r>
      <w:r>
        <w:rPr>
          <w:rFonts w:hint="eastAsia" w:ascii="仿宋" w:eastAsia="仿宋" w:cs="仿宋"/>
          <w:bCs/>
          <w:color w:val="auto"/>
          <w:sz w:val="24"/>
          <w:lang w:eastAsia="zh-CN"/>
        </w:rPr>
        <w:t>文件、成交供应商响应文件、采购合同约定</w:t>
      </w:r>
      <w:r>
        <w:rPr>
          <w:rFonts w:hint="eastAsia" w:ascii="仿宋" w:eastAsia="仿宋" w:cs="仿宋"/>
          <w:bCs/>
          <w:color w:val="auto"/>
          <w:sz w:val="24"/>
        </w:rPr>
        <w:t>内容及国家行业主管部门规定的标准、方法和内容进行验收。</w:t>
      </w:r>
    </w:p>
    <w:p>
      <w:pPr>
        <w:spacing w:line="360" w:lineRule="auto"/>
        <w:ind w:firstLine="491"/>
        <w:rPr>
          <w:rFonts w:hint="eastAsia" w:ascii="仿宋" w:eastAsia="仿宋" w:cs="仿宋"/>
          <w:bCs/>
          <w:color w:val="auto"/>
          <w:sz w:val="24"/>
        </w:rPr>
      </w:pPr>
      <w:r>
        <w:rPr>
          <w:rFonts w:hint="eastAsia" w:ascii="仿宋" w:eastAsia="仿宋" w:cs="仿宋"/>
          <w:bCs/>
          <w:color w:val="auto"/>
          <w:sz w:val="24"/>
          <w:lang w:val="en-US" w:eastAsia="zh-CN"/>
        </w:rPr>
        <w:t>25.</w:t>
      </w:r>
      <w:r>
        <w:rPr>
          <w:rFonts w:hint="eastAsia" w:ascii="仿宋" w:eastAsia="仿宋" w:cs="仿宋"/>
          <w:bCs/>
          <w:color w:val="auto"/>
          <w:sz w:val="24"/>
        </w:rPr>
        <w:t>2验收结果合格的，成交供应商</w:t>
      </w:r>
      <w:r>
        <w:rPr>
          <w:rFonts w:hint="eastAsia" w:ascii="仿宋" w:hAnsi="仿宋" w:eastAsia="仿宋" w:cs="仿宋"/>
          <w:color w:val="auto"/>
          <w:sz w:val="24"/>
          <w:highlight w:val="none"/>
        </w:rPr>
        <w:t>凭验收报告办理相关手续；</w:t>
      </w:r>
      <w:r>
        <w:rPr>
          <w:rFonts w:hint="eastAsia" w:ascii="仿宋" w:eastAsia="仿宋" w:cs="仿宋"/>
          <w:bCs/>
          <w:color w:val="auto"/>
          <w:sz w:val="24"/>
        </w:rPr>
        <w:t>验收结果不合格的，履约保证金将不予退还，也将不予支付采购资金。</w:t>
      </w:r>
    </w:p>
    <w:p>
      <w:pPr>
        <w:spacing w:line="360" w:lineRule="auto"/>
        <w:ind w:firstLine="491"/>
        <w:rPr>
          <w:rFonts w:ascii="仿宋" w:hAnsi="仿宋" w:eastAsia="仿宋" w:cs="仿宋"/>
          <w:color w:val="auto"/>
          <w:sz w:val="24"/>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26.</w:t>
      </w:r>
      <w:r>
        <w:rPr>
          <w:rFonts w:hint="eastAsia" w:ascii="仿宋" w:hAnsi="仿宋" w:eastAsia="仿宋" w:cs="仿宋"/>
          <w:b/>
          <w:color w:val="auto"/>
          <w:sz w:val="24"/>
        </w:rPr>
        <w:t>资金支付</w:t>
      </w:r>
    </w:p>
    <w:p>
      <w:pPr>
        <w:spacing w:line="360" w:lineRule="auto"/>
        <w:ind w:firstLine="491"/>
        <w:rPr>
          <w:rFonts w:hint="eastAsia" w:ascii="仿宋" w:hAnsi="Times New Roman" w:eastAsia="仿宋" w:cs="仿宋"/>
          <w:bCs/>
          <w:color w:val="auto"/>
          <w:sz w:val="24"/>
        </w:rPr>
      </w:pPr>
      <w:r>
        <w:rPr>
          <w:rFonts w:hint="eastAsia" w:ascii="仿宋" w:hAnsi="Times New Roman" w:eastAsia="仿宋" w:cs="仿宋"/>
          <w:bCs/>
          <w:color w:val="auto"/>
          <w:sz w:val="24"/>
        </w:rPr>
        <w:t>采购人将按照采购合同规定，及时向成交供应商支付采购资金。本项目采购资金付款详见第五章规定的付款方式。对于满足采购合同约定支付条件的，采购人应当将资金支付到合同约定的供应商账户，不得以机构变动、人员更替、政策调整等为由延迟付款，不得将采购文件和合同中未规定的义务作为向供应商付款的条件。</w:t>
      </w:r>
    </w:p>
    <w:p>
      <w:pPr>
        <w:spacing w:before="313" w:beforeLines="100" w:after="313" w:afterLines="100" w:line="360" w:lineRule="auto"/>
        <w:jc w:val="center"/>
        <w:outlineLvl w:val="1"/>
        <w:rPr>
          <w:rFonts w:ascii="仿宋" w:hAnsi="仿宋" w:eastAsia="仿宋" w:cs="仿宋"/>
          <w:b/>
          <w:color w:val="auto"/>
          <w:sz w:val="28"/>
          <w:szCs w:val="28"/>
        </w:rPr>
      </w:pPr>
      <w:r>
        <w:rPr>
          <w:rFonts w:hint="eastAsia" w:ascii="仿宋" w:hAnsi="仿宋" w:eastAsia="仿宋" w:cs="仿宋"/>
          <w:b/>
          <w:color w:val="auto"/>
          <w:sz w:val="30"/>
          <w:szCs w:val="30"/>
        </w:rPr>
        <w:t>八、采购纪律要求</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color w:val="auto"/>
          <w:sz w:val="24"/>
        </w:rPr>
      </w:pPr>
      <w:r>
        <w:rPr>
          <w:rFonts w:hint="eastAsia" w:ascii="仿宋" w:hAnsi="仿宋" w:eastAsia="仿宋" w:cs="仿宋"/>
          <w:b/>
          <w:bCs w:val="0"/>
          <w:color w:val="auto"/>
          <w:sz w:val="24"/>
          <w:lang w:val="en-US" w:eastAsia="zh-CN"/>
        </w:rPr>
        <w:t>27.</w:t>
      </w:r>
      <w:r>
        <w:rPr>
          <w:rFonts w:hint="eastAsia" w:ascii="仿宋" w:hAnsi="仿宋" w:eastAsia="仿宋" w:cs="仿宋"/>
          <w:b/>
          <w:color w:val="auto"/>
          <w:sz w:val="24"/>
        </w:rPr>
        <w:t>供应商不得具有的情形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供应商参加本项目采购不得有下列情形：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（1）提供虚假材料谋取成交；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（2）采取不正当手段诋毁、排挤其他供应商；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（3）与采购单位、其他供应商恶意串通；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（4）向采购单位、评审委员会成员行贿或者提供其他不正当利益；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（5）在采购过程中与采购单位进行协商谈判；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（6）成交或者成交后无正当理由拒不与采购人签订采购合同；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（7）未按照竞争性谈判文件确定的事项签订采购合同；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（8）将采购合同转包或者违规分包；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（9）提供假冒伪劣产品；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（10）擅自变更、中止或者终止采购合同；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（11）拒绝有关部门的监督检查或者向监督检查部门提供虚假情况；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（12）法律法规规定的其他情形。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供应商有上述情形的，按照规定追究法律责任，具备（1）-（10）条情形之一的，同时将取消成交资格或者认定成交无效。</w:t>
      </w:r>
    </w:p>
    <w:p>
      <w:pPr>
        <w:spacing w:line="360" w:lineRule="auto"/>
        <w:ind w:firstLine="482" w:firstLineChars="200"/>
        <w:outlineLvl w:val="9"/>
        <w:rPr>
          <w:rFonts w:hint="eastAsia" w:ascii="仿宋" w:hAnsi="仿宋" w:eastAsia="仿宋" w:cs="仿宋"/>
          <w:b/>
          <w:bCs w:val="0"/>
          <w:color w:val="auto"/>
          <w:sz w:val="24"/>
        </w:rPr>
      </w:pPr>
    </w:p>
    <w:p>
      <w:pPr>
        <w:spacing w:line="360" w:lineRule="auto"/>
        <w:ind w:firstLine="482" w:firstLineChars="200"/>
        <w:outlineLvl w:val="9"/>
        <w:rPr>
          <w:rFonts w:hint="eastAsia" w:ascii="仿宋" w:hAnsi="仿宋" w:eastAsia="仿宋" w:cs="仿宋"/>
          <w:b/>
          <w:bCs w:val="0"/>
          <w:color w:val="auto"/>
          <w:sz w:val="24"/>
        </w:rPr>
      </w:pPr>
      <w:r>
        <w:rPr>
          <w:rFonts w:hint="eastAsia" w:ascii="仿宋" w:hAnsi="仿宋" w:eastAsia="仿宋" w:cs="仿宋"/>
          <w:b/>
          <w:bCs w:val="0"/>
          <w:color w:val="auto"/>
          <w:sz w:val="24"/>
        </w:rPr>
        <w:t>2</w:t>
      </w:r>
      <w:r>
        <w:rPr>
          <w:rFonts w:hint="eastAsia" w:ascii="仿宋" w:hAnsi="仿宋" w:eastAsia="仿宋" w:cs="仿宋"/>
          <w:b/>
          <w:bCs w:val="0"/>
          <w:color w:val="auto"/>
          <w:sz w:val="24"/>
          <w:lang w:val="en-US" w:eastAsia="zh-CN"/>
        </w:rPr>
        <w:t>8.</w:t>
      </w:r>
      <w:r>
        <w:rPr>
          <w:rFonts w:hint="eastAsia" w:ascii="仿宋" w:hAnsi="仿宋" w:eastAsia="仿宋" w:cs="仿宋"/>
          <w:b/>
          <w:bCs w:val="0"/>
          <w:color w:val="auto"/>
          <w:sz w:val="24"/>
        </w:rPr>
        <w:t>保密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28.1</w:t>
      </w:r>
      <w:r>
        <w:rPr>
          <w:rFonts w:hint="eastAsia" w:ascii="仿宋" w:hAnsi="仿宋" w:eastAsia="仿宋" w:cs="仿宋"/>
          <w:bCs/>
          <w:color w:val="auto"/>
          <w:sz w:val="24"/>
        </w:rPr>
        <w:t>不得透露有关购买</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文件的潜在供应商的任何情况。</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28.2</w:t>
      </w:r>
      <w:r>
        <w:rPr>
          <w:rFonts w:hint="eastAsia" w:ascii="仿宋" w:hAnsi="仿宋" w:eastAsia="仿宋" w:cs="仿宋"/>
          <w:bCs/>
          <w:color w:val="auto"/>
          <w:sz w:val="24"/>
        </w:rPr>
        <w:t>有关响应文件的审查、澄清、评估和比较以及合同授予意向等情况都不得对外透露。</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28.3</w:t>
      </w:r>
      <w:r>
        <w:rPr>
          <w:rFonts w:hint="eastAsia" w:ascii="仿宋" w:hAnsi="仿宋" w:eastAsia="仿宋" w:cs="仿宋"/>
          <w:bCs/>
          <w:color w:val="auto"/>
          <w:sz w:val="24"/>
        </w:rPr>
        <w:t>供应商不得以任何方式干扰评审活动，否则其报价无效并追究其法律责任。</w:t>
      </w:r>
    </w:p>
    <w:p>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lang w:val="en-US" w:eastAsia="zh-CN"/>
        </w:rPr>
        <w:t>28.4</w:t>
      </w:r>
      <w:r>
        <w:rPr>
          <w:rFonts w:hint="eastAsia" w:ascii="仿宋" w:hAnsi="仿宋" w:eastAsia="仿宋" w:cs="仿宋"/>
          <w:bCs/>
          <w:color w:val="auto"/>
          <w:sz w:val="24"/>
        </w:rPr>
        <w:t>采购代理机构将指定专人负责评审过程中的全部联系工作。</w:t>
      </w:r>
    </w:p>
    <w:p>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九、其他</w:t>
      </w:r>
    </w:p>
    <w:p>
      <w:pPr>
        <w:spacing w:line="360" w:lineRule="auto"/>
        <w:ind w:firstLine="480" w:firstLineChars="200"/>
        <w:rPr>
          <w:rFonts w:ascii="仿宋" w:hAnsi="仿宋" w:eastAsia="仿宋" w:cs="仿宋"/>
          <w:b/>
          <w:bCs/>
          <w:color w:val="auto"/>
          <w:sz w:val="36"/>
          <w:szCs w:val="36"/>
        </w:rPr>
      </w:pPr>
      <w:r>
        <w:rPr>
          <w:rFonts w:hint="eastAsia" w:ascii="仿宋" w:hAnsi="仿宋" w:eastAsia="仿宋" w:cs="仿宋"/>
          <w:bCs/>
          <w:color w:val="auto"/>
          <w:sz w:val="24"/>
        </w:rPr>
        <w:t>本竞争性谈判文件中所引相关法律制度规定，在采购活动中有变化的，按照变化后的相关法律制度规定执行。本章和第</w:t>
      </w:r>
      <w:r>
        <w:rPr>
          <w:rFonts w:hint="eastAsia" w:ascii="仿宋" w:hAnsi="仿宋" w:eastAsia="仿宋" w:cs="仿宋"/>
          <w:bCs/>
          <w:color w:val="auto"/>
          <w:sz w:val="24"/>
          <w:lang w:eastAsia="zh-CN"/>
        </w:rPr>
        <w:t>八</w:t>
      </w:r>
      <w:r>
        <w:rPr>
          <w:rFonts w:hint="eastAsia" w:ascii="仿宋" w:hAnsi="仿宋" w:eastAsia="仿宋" w:cs="仿宋"/>
          <w:bCs/>
          <w:color w:val="auto"/>
          <w:sz w:val="24"/>
        </w:rPr>
        <w:t>章中“1.总则、2.评审方法、3.评审程序”规定的内容条款，在本项目响应截止时间届满后，因相关法律制度规定的变化导致不符合相关法律制度规定的，直接按照变化后的相关法律制度规定执行，本竞争性谈判文件不再做调整。</w:t>
      </w:r>
      <w:bookmarkStart w:id="18" w:name="_Toc20206"/>
      <w:bookmarkStart w:id="19" w:name="_Toc28047"/>
      <w:bookmarkStart w:id="20" w:name="_Toc32389"/>
    </w:p>
    <w:p>
      <w:pPr>
        <w:spacing w:before="100" w:beforeAutospacing="1" w:after="50" w:line="360" w:lineRule="auto"/>
        <w:jc w:val="both"/>
        <w:outlineLvl w:val="9"/>
        <w:rPr>
          <w:rFonts w:hint="eastAsia" w:ascii="仿宋" w:hAnsi="仿宋" w:eastAsia="仿宋" w:cs="仿宋"/>
          <w:b/>
          <w:bCs/>
          <w:color w:val="auto"/>
          <w:kern w:val="2"/>
          <w:sz w:val="36"/>
          <w:szCs w:val="36"/>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p>
    <w:p>
      <w:pPr>
        <w:pStyle w:val="23"/>
        <w:keepNext w:val="0"/>
        <w:keepLines w:val="0"/>
        <w:pageBreakBefore w:val="0"/>
        <w:widowControl/>
        <w:kinsoku/>
        <w:wordWrap/>
        <w:overflowPunct/>
        <w:topLinePunct w:val="0"/>
        <w:autoSpaceDE/>
        <w:autoSpaceDN/>
        <w:bidi w:val="0"/>
        <w:adjustRightInd/>
        <w:snapToGrid w:val="0"/>
        <w:spacing w:before="157" w:beforeLines="50" w:after="313" w:afterLines="100" w:line="360" w:lineRule="auto"/>
        <w:jc w:val="center"/>
        <w:textAlignment w:val="auto"/>
        <w:outlineLvl w:val="0"/>
        <w:rPr>
          <w:rFonts w:hint="eastAsia" w:ascii="仿宋" w:hAnsi="仿宋" w:eastAsia="仿宋" w:cs="仿宋"/>
          <w:bCs/>
          <w:color w:val="auto"/>
          <w:sz w:val="24"/>
        </w:rPr>
      </w:pPr>
      <w:bookmarkStart w:id="21" w:name="_Toc11322"/>
      <w:bookmarkStart w:id="22" w:name="_Toc1630"/>
      <w:bookmarkStart w:id="23" w:name="_Toc7520"/>
      <w:r>
        <w:rPr>
          <w:rFonts w:hint="eastAsia" w:ascii="仿宋" w:hAnsi="仿宋" w:eastAsia="仿宋" w:cs="仿宋"/>
          <w:b/>
          <w:bCs/>
          <w:color w:val="auto"/>
          <w:kern w:val="2"/>
          <w:sz w:val="36"/>
          <w:szCs w:val="36"/>
        </w:rPr>
        <w:t>第三章</w:t>
      </w:r>
      <w:r>
        <w:rPr>
          <w:rFonts w:hint="eastAsia" w:ascii="仿宋" w:hAnsi="仿宋" w:eastAsia="仿宋" w:cs="仿宋"/>
          <w:b/>
          <w:bCs/>
          <w:color w:val="auto"/>
          <w:kern w:val="2"/>
          <w:sz w:val="36"/>
          <w:szCs w:val="36"/>
          <w:lang w:val="en-US" w:eastAsia="zh-CN"/>
        </w:rPr>
        <w:t xml:space="preserve"> </w:t>
      </w:r>
      <w:r>
        <w:rPr>
          <w:rFonts w:hint="eastAsia" w:ascii="仿宋" w:hAnsi="仿宋" w:eastAsia="仿宋" w:cs="仿宋"/>
          <w:b/>
          <w:bCs/>
          <w:color w:val="auto"/>
          <w:kern w:val="2"/>
          <w:sz w:val="36"/>
          <w:szCs w:val="36"/>
        </w:rPr>
        <w:t>供应商的资格条件要求</w:t>
      </w:r>
      <w:bookmarkEnd w:id="18"/>
      <w:bookmarkEnd w:id="19"/>
      <w:bookmarkEnd w:id="20"/>
      <w:bookmarkEnd w:id="21"/>
      <w:bookmarkEnd w:id="22"/>
      <w:bookmarkEnd w:id="23"/>
    </w:p>
    <w:p>
      <w:pPr>
        <w:snapToGrid w:val="0"/>
        <w:spacing w:line="360" w:lineRule="auto"/>
        <w:ind w:firstLine="482" w:firstLineChars="200"/>
        <w:outlineLvl w:val="1"/>
        <w:rPr>
          <w:rFonts w:hint="eastAsia" w:ascii="仿宋" w:hAnsi="仿宋" w:eastAsia="仿宋" w:cs="仿宋"/>
          <w:b/>
          <w:bCs w:val="0"/>
          <w:color w:val="auto"/>
          <w:sz w:val="24"/>
        </w:rPr>
      </w:pPr>
      <w:r>
        <w:rPr>
          <w:rFonts w:hint="eastAsia" w:ascii="仿宋" w:hAnsi="仿宋" w:eastAsia="仿宋" w:cs="仿宋"/>
          <w:b/>
          <w:bCs w:val="0"/>
          <w:color w:val="auto"/>
          <w:sz w:val="24"/>
        </w:rPr>
        <w:t>一、供应商应具备下列资格条件</w:t>
      </w:r>
    </w:p>
    <w:p>
      <w:pPr>
        <w:snapToGrid w:val="0"/>
        <w:spacing w:line="360" w:lineRule="auto"/>
        <w:ind w:firstLine="482" w:firstLineChars="200"/>
        <w:outlineLvl w:val="2"/>
        <w:rPr>
          <w:rFonts w:hint="eastAsia" w:ascii="仿宋" w:hAnsi="仿宋" w:eastAsia="仿宋" w:cs="仿宋"/>
          <w:b/>
          <w:bCs w:val="0"/>
          <w:color w:val="auto"/>
          <w:sz w:val="24"/>
          <w:highlight w:val="none"/>
          <w:shd w:val="clear" w:color="auto" w:fill="auto"/>
          <w:lang w:eastAsia="zh-CN"/>
        </w:rPr>
      </w:pPr>
      <w:r>
        <w:rPr>
          <w:rFonts w:hint="eastAsia" w:ascii="仿宋" w:hAnsi="仿宋" w:eastAsia="仿宋" w:cs="仿宋"/>
          <w:b/>
          <w:bCs w:val="0"/>
          <w:color w:val="auto"/>
          <w:sz w:val="24"/>
          <w:highlight w:val="none"/>
          <w:shd w:val="clear" w:color="auto" w:fill="auto"/>
          <w:lang w:eastAsia="zh-CN"/>
        </w:rPr>
        <w:t>（一）满足本项目要求的基本资格条件</w:t>
      </w:r>
    </w:p>
    <w:p>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1、具有独立承担民事责任的能力；</w:t>
      </w:r>
    </w:p>
    <w:p>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2、具有良好的商业信誉和健全的财务会计制度；</w:t>
      </w:r>
    </w:p>
    <w:p>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3、具有履行合同所必需的设备和专业技术能力；</w:t>
      </w:r>
    </w:p>
    <w:p>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4、有依法缴纳税收和社会保障资金的良好记录；</w:t>
      </w:r>
    </w:p>
    <w:p>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5、参加本次项目采购活动前三年内，在经营活动中没有重大违法记录；</w:t>
      </w:r>
    </w:p>
    <w:p>
      <w:pPr>
        <w:snapToGrid w:val="0"/>
        <w:spacing w:line="360" w:lineRule="auto"/>
        <w:ind w:firstLine="480" w:firstLineChars="200"/>
        <w:rPr>
          <w:rFonts w:hint="eastAsia"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6、法律、行政法规规定的其他条件。</w:t>
      </w:r>
    </w:p>
    <w:p>
      <w:pPr>
        <w:spacing w:line="360" w:lineRule="auto"/>
        <w:ind w:firstLine="480"/>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（二）</w:t>
      </w:r>
      <w:r>
        <w:rPr>
          <w:rFonts w:hint="eastAsia" w:ascii="仿宋" w:hAnsi="仿宋" w:eastAsia="仿宋" w:cs="仿宋"/>
          <w:b/>
          <w:bCs w:val="0"/>
          <w:color w:val="auto"/>
          <w:sz w:val="24"/>
          <w:highlight w:val="none"/>
          <w:shd w:val="clear" w:color="auto" w:fill="auto"/>
          <w:lang w:eastAsia="zh-CN"/>
        </w:rPr>
        <w:t>满足</w:t>
      </w:r>
      <w:r>
        <w:rPr>
          <w:rFonts w:hint="eastAsia" w:ascii="仿宋" w:hAnsi="仿宋" w:eastAsia="仿宋" w:cs="仿宋"/>
          <w:b/>
          <w:color w:val="auto"/>
          <w:sz w:val="24"/>
          <w:highlight w:val="none"/>
        </w:rPr>
        <w:t>本项目要求的</w:t>
      </w:r>
      <w:r>
        <w:rPr>
          <w:rFonts w:hint="eastAsia" w:ascii="仿宋" w:hAnsi="仿宋" w:eastAsia="仿宋" w:cs="仿宋"/>
          <w:b/>
          <w:color w:val="auto"/>
          <w:sz w:val="24"/>
          <w:highlight w:val="none"/>
          <w:lang w:eastAsia="zh-CN"/>
        </w:rPr>
        <w:t>特定资格</w:t>
      </w:r>
      <w:r>
        <w:rPr>
          <w:rFonts w:hint="eastAsia" w:ascii="仿宋" w:hAnsi="仿宋" w:eastAsia="仿宋" w:cs="仿宋"/>
          <w:b/>
          <w:color w:val="auto"/>
          <w:sz w:val="24"/>
          <w:highlight w:val="none"/>
        </w:rPr>
        <w:t>条件</w:t>
      </w:r>
    </w:p>
    <w:p>
      <w:pPr>
        <w:spacing w:line="360" w:lineRule="auto"/>
        <w:ind w:firstLine="480" w:firstLineChars="200"/>
        <w:rPr>
          <w:rFonts w:hint="eastAsia" w:ascii="仿宋" w:hAnsi="仿宋" w:eastAsia="仿宋" w:cs="仿宋"/>
          <w:bCs/>
          <w:color w:val="000000" w:themeColor="text1"/>
          <w:sz w:val="24"/>
          <w:highlight w:val="none"/>
          <w:lang w:eastAsia="zh-CN"/>
          <w14:textFill>
            <w14:solidFill>
              <w14:schemeClr w14:val="tx1"/>
            </w14:solidFill>
          </w14:textFill>
        </w:rPr>
      </w:pPr>
      <w:r>
        <w:rPr>
          <w:rFonts w:hint="eastAsia" w:ascii="仿宋" w:hAnsi="仿宋" w:eastAsia="仿宋" w:cs="仿宋"/>
          <w:bCs/>
          <w:color w:val="000000" w:themeColor="text1"/>
          <w:sz w:val="24"/>
          <w:highlight w:val="none"/>
          <w:lang w:eastAsia="zh-CN"/>
          <w14:textFill>
            <w14:solidFill>
              <w14:schemeClr w14:val="tx1"/>
            </w14:solidFill>
          </w14:textFill>
        </w:rPr>
        <w:t>无。</w:t>
      </w:r>
    </w:p>
    <w:p>
      <w:pPr>
        <w:spacing w:line="360" w:lineRule="auto"/>
        <w:ind w:firstLine="420" w:firstLineChars="200"/>
        <w:rPr>
          <w:color w:val="auto"/>
        </w:rPr>
      </w:pPr>
    </w:p>
    <w:p>
      <w:pPr>
        <w:snapToGrid w:val="0"/>
        <w:spacing w:line="360" w:lineRule="auto"/>
        <w:ind w:firstLine="482" w:firstLineChars="200"/>
        <w:outlineLvl w:val="1"/>
        <w:rPr>
          <w:rFonts w:hint="eastAsia" w:ascii="仿宋" w:hAnsi="仿宋" w:eastAsia="仿宋" w:cs="仿宋"/>
          <w:b/>
          <w:bCs w:val="0"/>
          <w:color w:val="auto"/>
          <w:sz w:val="24"/>
        </w:rPr>
      </w:pPr>
      <w:r>
        <w:rPr>
          <w:rFonts w:hint="eastAsia" w:ascii="仿宋" w:hAnsi="仿宋" w:eastAsia="仿宋" w:cs="仿宋"/>
          <w:b/>
          <w:bCs w:val="0"/>
          <w:color w:val="auto"/>
          <w:sz w:val="24"/>
          <w:lang w:eastAsia="zh-CN"/>
        </w:rPr>
        <w:t>二</w:t>
      </w:r>
      <w:r>
        <w:rPr>
          <w:rFonts w:hint="eastAsia" w:ascii="仿宋" w:hAnsi="仿宋" w:eastAsia="仿宋" w:cs="仿宋"/>
          <w:b/>
          <w:bCs w:val="0"/>
          <w:color w:val="auto"/>
          <w:sz w:val="24"/>
        </w:rPr>
        <w:t>、</w:t>
      </w:r>
      <w:r>
        <w:rPr>
          <w:rFonts w:hint="eastAsia" w:ascii="仿宋" w:hAnsi="仿宋" w:eastAsia="仿宋" w:cs="仿宋"/>
          <w:b/>
          <w:bCs w:val="0"/>
          <w:color w:val="auto"/>
          <w:sz w:val="24"/>
          <w:lang w:eastAsia="zh-CN"/>
        </w:rPr>
        <w:t>满足本项目的</w:t>
      </w:r>
      <w:r>
        <w:rPr>
          <w:rFonts w:hint="eastAsia" w:ascii="仿宋" w:hAnsi="仿宋" w:eastAsia="仿宋" w:cs="仿宋"/>
          <w:b/>
          <w:bCs w:val="0"/>
          <w:color w:val="auto"/>
          <w:sz w:val="24"/>
        </w:rPr>
        <w:t>其他具有类似效力的要求</w:t>
      </w:r>
    </w:p>
    <w:p>
      <w:pPr>
        <w:snapToGrid w:val="0"/>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auto"/>
          <w:sz w:val="24"/>
          <w:highlight w:val="none"/>
          <w:shd w:val="clear" w:color="auto" w:fill="auto"/>
        </w:rPr>
        <w:t>供应商代表为供应商法定代表人</w:t>
      </w:r>
      <w:r>
        <w:rPr>
          <w:rFonts w:hint="eastAsia" w:ascii="仿宋" w:hAnsi="仿宋" w:eastAsia="仿宋" w:cs="仿宋"/>
          <w:bCs/>
          <w:color w:val="auto"/>
          <w:sz w:val="24"/>
          <w:highlight w:val="none"/>
          <w:shd w:val="clear" w:color="auto" w:fill="auto"/>
          <w:lang w:eastAsia="zh-CN"/>
        </w:rPr>
        <w:t>（或主要负责人）</w:t>
      </w:r>
      <w:r>
        <w:rPr>
          <w:rFonts w:hint="eastAsia" w:ascii="仿宋" w:hAnsi="仿宋" w:eastAsia="仿宋" w:cs="仿宋"/>
          <w:bCs/>
          <w:color w:val="auto"/>
          <w:sz w:val="24"/>
          <w:highlight w:val="none"/>
          <w:shd w:val="clear" w:color="auto" w:fill="auto"/>
        </w:rPr>
        <w:t>或其授权参加本次</w:t>
      </w:r>
      <w:r>
        <w:rPr>
          <w:rFonts w:hint="eastAsia" w:ascii="仿宋" w:hAnsi="仿宋" w:eastAsia="仿宋" w:cs="仿宋"/>
          <w:bCs/>
          <w:color w:val="auto"/>
          <w:sz w:val="24"/>
          <w:highlight w:val="none"/>
          <w:shd w:val="clear" w:color="auto" w:fill="auto"/>
          <w:lang w:eastAsia="zh-CN"/>
        </w:rPr>
        <w:t>谈判</w:t>
      </w:r>
      <w:r>
        <w:rPr>
          <w:rFonts w:hint="eastAsia" w:ascii="仿宋" w:hAnsi="仿宋" w:eastAsia="仿宋" w:cs="仿宋"/>
          <w:bCs/>
          <w:color w:val="auto"/>
          <w:sz w:val="24"/>
          <w:highlight w:val="none"/>
          <w:shd w:val="clear" w:color="auto" w:fill="auto"/>
        </w:rPr>
        <w:t>活动的合法代表。</w:t>
      </w:r>
      <w:r>
        <w:rPr>
          <w:rFonts w:hint="eastAsia" w:ascii="仿宋" w:hAnsi="仿宋" w:eastAsia="仿宋" w:cs="仿宋"/>
          <w:bCs/>
          <w:color w:val="000000" w:themeColor="text1"/>
          <w:sz w:val="24"/>
          <w14:textFill>
            <w14:solidFill>
              <w14:schemeClr w14:val="tx1"/>
            </w14:solidFill>
          </w14:textFill>
        </w:rPr>
        <w:t xml:space="preserve"> </w:t>
      </w:r>
    </w:p>
    <w:p>
      <w:pPr>
        <w:spacing w:line="360" w:lineRule="auto"/>
        <w:rPr>
          <w:rFonts w:hint="eastAsia"/>
          <w:lang w:eastAsia="zh-CN"/>
        </w:rPr>
      </w:pPr>
    </w:p>
    <w:p>
      <w:pPr>
        <w:spacing w:line="360" w:lineRule="auto"/>
        <w:rPr>
          <w:color w:val="auto"/>
        </w:rPr>
      </w:pPr>
    </w:p>
    <w:p>
      <w:pPr>
        <w:pStyle w:val="12"/>
        <w:spacing w:line="360" w:lineRule="auto"/>
        <w:rPr>
          <w:color w:val="auto"/>
        </w:rPr>
      </w:pPr>
    </w:p>
    <w:p>
      <w:pPr>
        <w:pStyle w:val="87"/>
        <w:numPr>
          <w:ilvl w:val="0"/>
          <w:numId w:val="0"/>
        </w:numPr>
        <w:spacing w:line="360" w:lineRule="auto"/>
        <w:ind w:firstLine="0" w:firstLineChars="0"/>
        <w:rPr>
          <w:rFonts w:ascii="仿宋" w:hAnsi="仿宋" w:eastAsia="仿宋" w:cs="仿宋"/>
          <w:b/>
          <w:bCs/>
          <w:color w:val="auto"/>
          <w:sz w:val="24"/>
        </w:rPr>
      </w:pPr>
      <w:r>
        <w:rPr>
          <w:rFonts w:hint="eastAsia" w:ascii="仿宋" w:hAnsi="仿宋" w:eastAsia="仿宋" w:cs="仿宋"/>
          <w:b/>
          <w:bCs/>
          <w:color w:val="auto"/>
          <w:sz w:val="24"/>
          <w:highlight w:val="none"/>
          <w:shd w:val="clear" w:color="auto" w:fill="auto"/>
        </w:rPr>
        <w:t>注：</w:t>
      </w:r>
      <w:r>
        <w:rPr>
          <w:rFonts w:hint="eastAsia" w:ascii="仿宋" w:hAnsi="仿宋" w:eastAsia="仿宋" w:cs="仿宋"/>
          <w:b/>
          <w:bCs/>
          <w:color w:val="auto"/>
          <w:sz w:val="24"/>
          <w:highlight w:val="none"/>
          <w:shd w:val="clear" w:color="auto" w:fill="auto"/>
          <w:lang w:val="en-US" w:eastAsia="zh-CN"/>
        </w:rPr>
        <w:t>1.</w:t>
      </w:r>
      <w:r>
        <w:rPr>
          <w:rFonts w:hint="eastAsia" w:ascii="仿宋" w:hAnsi="仿宋" w:eastAsia="仿宋" w:cs="仿宋"/>
          <w:b/>
          <w:bCs/>
          <w:color w:val="auto"/>
          <w:sz w:val="24"/>
          <w:lang w:val="en-US" w:eastAsia="zh-CN"/>
        </w:rPr>
        <w:t>本项目所称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pPr>
        <w:pStyle w:val="12"/>
        <w:spacing w:line="360" w:lineRule="auto"/>
        <w:ind w:firstLine="482" w:firstLineChars="200"/>
        <w:rPr>
          <w:rFonts w:hint="eastAsia" w:ascii="仿宋" w:hAnsi="仿宋" w:eastAsia="仿宋" w:cs="仿宋"/>
          <w:b/>
          <w:color w:val="auto"/>
          <w:sz w:val="24"/>
          <w:szCs w:val="24"/>
          <w:highlight w:val="none"/>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ascii="仿宋" w:hAnsi="仿宋" w:eastAsia="仿宋" w:cs="仿宋"/>
          <w:b/>
          <w:bCs w:val="0"/>
          <w:color w:val="auto"/>
          <w:sz w:val="24"/>
          <w:lang w:val="en-US" w:eastAsia="zh-CN"/>
        </w:rPr>
        <w:t>2.</w:t>
      </w:r>
      <w:r>
        <w:rPr>
          <w:rFonts w:hint="eastAsia" w:ascii="仿宋" w:hAnsi="仿宋" w:eastAsia="仿宋" w:cs="仿宋"/>
          <w:b/>
          <w:color w:val="auto"/>
          <w:sz w:val="24"/>
          <w:szCs w:val="24"/>
          <w:highlight w:val="none"/>
        </w:rPr>
        <w:t>供应商若不符合第二章</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须知前附表“信用记录查询及使用”</w:t>
      </w:r>
      <w:r>
        <w:rPr>
          <w:rFonts w:hint="eastAsia" w:ascii="仿宋" w:hAnsi="仿宋" w:eastAsia="仿宋" w:cs="仿宋"/>
          <w:b/>
          <w:color w:val="auto"/>
          <w:sz w:val="24"/>
          <w:szCs w:val="24"/>
          <w:highlight w:val="none"/>
          <w:lang w:eastAsia="zh-CN"/>
        </w:rPr>
        <w:t>或</w:t>
      </w:r>
      <w:r>
        <w:rPr>
          <w:rFonts w:hint="eastAsia" w:ascii="仿宋" w:hAnsi="仿宋" w:eastAsia="仿宋" w:cs="仿宋"/>
          <w:b/>
          <w:color w:val="auto"/>
          <w:sz w:val="24"/>
          <w:szCs w:val="24"/>
          <w:highlight w:val="none"/>
        </w:rPr>
        <w:t>“充分、公平竞争保障措施”规定，</w:t>
      </w:r>
      <w:r>
        <w:rPr>
          <w:rFonts w:hint="eastAsia" w:ascii="仿宋" w:hAnsi="仿宋" w:eastAsia="仿宋" w:cs="仿宋"/>
          <w:b/>
          <w:color w:val="auto"/>
          <w:sz w:val="24"/>
          <w:szCs w:val="24"/>
          <w:highlight w:val="none"/>
          <w:lang w:eastAsia="zh-CN"/>
        </w:rPr>
        <w:t>视为资格审查不</w:t>
      </w:r>
      <w:r>
        <w:rPr>
          <w:rFonts w:hint="eastAsia" w:ascii="仿宋" w:hAnsi="仿宋" w:eastAsia="仿宋" w:cs="仿宋"/>
          <w:b/>
          <w:color w:val="auto"/>
          <w:sz w:val="24"/>
          <w:szCs w:val="24"/>
          <w:highlight w:val="none"/>
        </w:rPr>
        <w:t>通过。</w:t>
      </w:r>
    </w:p>
    <w:p>
      <w:pPr>
        <w:keepNext w:val="0"/>
        <w:keepLines w:val="0"/>
        <w:pageBreakBefore w:val="0"/>
        <w:widowControl w:val="0"/>
        <w:kinsoku/>
        <w:wordWrap/>
        <w:overflowPunct/>
        <w:topLinePunct w:val="0"/>
        <w:autoSpaceDE/>
        <w:autoSpaceDN/>
        <w:bidi w:val="0"/>
        <w:adjustRightInd/>
        <w:snapToGrid/>
        <w:spacing w:before="157" w:beforeLines="50" w:after="313" w:afterLines="100"/>
        <w:jc w:val="center"/>
        <w:textAlignment w:val="auto"/>
        <w:outlineLvl w:val="0"/>
        <w:rPr>
          <w:rFonts w:ascii="仿宋" w:hAnsi="仿宋" w:eastAsia="仿宋" w:cs="仿宋"/>
          <w:b/>
          <w:bCs/>
          <w:color w:val="auto"/>
          <w:kern w:val="2"/>
          <w:sz w:val="36"/>
          <w:szCs w:val="36"/>
        </w:rPr>
      </w:pPr>
      <w:bookmarkStart w:id="24" w:name="_Toc21415"/>
      <w:bookmarkStart w:id="25" w:name="_Toc3076"/>
      <w:bookmarkStart w:id="26" w:name="_Toc22893"/>
      <w:bookmarkStart w:id="27" w:name="_Toc14481"/>
      <w:bookmarkStart w:id="28" w:name="_Toc24325"/>
      <w:r>
        <w:rPr>
          <w:rFonts w:hint="eastAsia" w:ascii="仿宋" w:hAnsi="仿宋" w:eastAsia="仿宋" w:cs="仿宋"/>
          <w:b/>
          <w:bCs/>
          <w:color w:val="auto"/>
          <w:kern w:val="2"/>
          <w:sz w:val="36"/>
          <w:szCs w:val="36"/>
        </w:rPr>
        <w:t>第四章 供应商应当提供的资格证明材料</w:t>
      </w:r>
      <w:bookmarkEnd w:id="24"/>
      <w:bookmarkEnd w:id="25"/>
      <w:bookmarkEnd w:id="26"/>
      <w:bookmarkEnd w:id="27"/>
      <w:bookmarkEnd w:id="28"/>
    </w:p>
    <w:p>
      <w:pPr>
        <w:spacing w:line="400" w:lineRule="exact"/>
        <w:ind w:firstLine="482" w:firstLineChars="200"/>
        <w:outlineLvl w:val="9"/>
        <w:rPr>
          <w:rFonts w:hint="eastAsia" w:ascii="仿宋" w:hAnsi="仿宋" w:eastAsia="仿宋" w:cs="仿宋"/>
          <w:b/>
          <w:bCs/>
          <w:color w:val="auto"/>
          <w:sz w:val="24"/>
        </w:rPr>
      </w:pPr>
    </w:p>
    <w:p>
      <w:pPr>
        <w:spacing w:line="360" w:lineRule="auto"/>
        <w:ind w:firstLine="482" w:firstLineChars="200"/>
        <w:outlineLvl w:val="1"/>
        <w:rPr>
          <w:rFonts w:ascii="仿宋" w:hAnsi="仿宋" w:eastAsia="仿宋" w:cs="仿宋"/>
          <w:b/>
          <w:bCs/>
          <w:color w:val="auto"/>
          <w:sz w:val="24"/>
        </w:rPr>
      </w:pPr>
      <w:r>
        <w:rPr>
          <w:rFonts w:hint="eastAsia" w:ascii="仿宋" w:hAnsi="仿宋" w:eastAsia="仿宋" w:cs="仿宋"/>
          <w:b/>
          <w:bCs/>
          <w:color w:val="auto"/>
          <w:sz w:val="24"/>
        </w:rPr>
        <w:t>一、</w:t>
      </w:r>
      <w:r>
        <w:rPr>
          <w:rFonts w:hint="eastAsia" w:ascii="仿宋" w:hAnsi="仿宋" w:eastAsia="仿宋" w:cs="仿宋"/>
          <w:b/>
          <w:bCs/>
          <w:color w:val="auto"/>
          <w:sz w:val="24"/>
          <w:lang w:eastAsia="zh-CN"/>
        </w:rPr>
        <w:t>满足本项目基本</w:t>
      </w:r>
      <w:r>
        <w:rPr>
          <w:rFonts w:hint="eastAsia" w:ascii="仿宋" w:hAnsi="仿宋" w:eastAsia="仿宋" w:cs="仿宋"/>
          <w:b/>
          <w:bCs/>
          <w:color w:val="auto"/>
          <w:sz w:val="24"/>
        </w:rPr>
        <w:t>资格</w:t>
      </w:r>
      <w:r>
        <w:rPr>
          <w:rFonts w:hint="eastAsia" w:ascii="仿宋" w:hAnsi="仿宋" w:eastAsia="仿宋" w:cs="仿宋"/>
          <w:b/>
          <w:bCs/>
          <w:color w:val="auto"/>
          <w:sz w:val="24"/>
          <w:lang w:eastAsia="zh-CN"/>
        </w:rPr>
        <w:t>条件</w:t>
      </w:r>
      <w:r>
        <w:rPr>
          <w:rFonts w:hint="eastAsia" w:ascii="仿宋" w:hAnsi="仿宋" w:eastAsia="仿宋" w:cs="仿宋"/>
          <w:b/>
          <w:bCs/>
          <w:color w:val="auto"/>
          <w:sz w:val="24"/>
        </w:rPr>
        <w:t>的证明材料</w:t>
      </w:r>
    </w:p>
    <w:p>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1、营业执照等证明文件</w:t>
      </w:r>
    </w:p>
    <w:p>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（1）供应商若为企业法人：提供“统一社会信用代码营业执照”；</w:t>
      </w:r>
    </w:p>
    <w:p>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（2）供应商若为事业法人：提供“统一社会信用代码法人登记证书”；</w:t>
      </w:r>
    </w:p>
    <w:p>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（3）供应商若为其他组织：提供“对应主管部门颁发的准许执业证明文件或营业执照”；</w:t>
      </w:r>
    </w:p>
    <w:p>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（4）供应商若为自然人，提供“身份证明材料”；</w:t>
      </w:r>
    </w:p>
    <w:p>
      <w:pPr>
        <w:spacing w:line="360" w:lineRule="auto"/>
        <w:ind w:firstLine="480" w:firstLineChars="200"/>
        <w:rPr>
          <w:rFonts w:hint="eastAsia"/>
          <w:color w:val="auto"/>
        </w:rPr>
      </w:pPr>
      <w:r>
        <w:rPr>
          <w:rFonts w:hint="eastAsia" w:ascii="仿宋" w:hAnsi="仿宋" w:eastAsia="仿宋" w:cs="仿宋"/>
          <w:b w:val="0"/>
          <w:bCs w:val="0"/>
          <w:color w:val="auto"/>
          <w:sz w:val="24"/>
          <w:szCs w:val="32"/>
          <w:highlight w:val="none"/>
          <w:shd w:val="clear" w:color="auto" w:fill="auto"/>
        </w:rPr>
        <w:t>2、</w:t>
      </w:r>
      <w:r>
        <w:rPr>
          <w:rFonts w:hint="eastAsia" w:ascii="仿宋" w:hAnsi="仿宋" w:eastAsia="仿宋" w:cs="仿宋"/>
          <w:b w:val="0"/>
          <w:color w:val="auto"/>
          <w:sz w:val="24"/>
          <w:lang w:eastAsia="zh-CN"/>
        </w:rPr>
        <w:t>提供有效的“资格声明函”</w:t>
      </w:r>
      <w:r>
        <w:rPr>
          <w:rFonts w:hint="eastAsia" w:ascii="仿宋" w:hAnsi="仿宋" w:eastAsia="仿宋" w:cs="仿宋"/>
          <w:b/>
          <w:bCs/>
          <w:color w:val="auto"/>
          <w:sz w:val="24"/>
          <w:lang w:eastAsia="zh-CN"/>
        </w:rPr>
        <w:t>（格式详见</w:t>
      </w:r>
      <w:r>
        <w:rPr>
          <w:rFonts w:hint="eastAsia" w:ascii="仿宋" w:hAnsi="仿宋" w:eastAsia="仿宋" w:cs="仿宋"/>
          <w:b/>
          <w:bCs/>
          <w:color w:val="auto"/>
          <w:sz w:val="24"/>
          <w:lang w:val="en-US" w:eastAsia="zh-CN"/>
        </w:rPr>
        <w:t xml:space="preserve"> 格式1-4</w:t>
      </w:r>
      <w:r>
        <w:rPr>
          <w:rFonts w:hint="eastAsia" w:ascii="仿宋" w:hAnsi="仿宋" w:eastAsia="仿宋" w:cs="仿宋"/>
          <w:b/>
          <w:bCs/>
          <w:color w:val="auto"/>
          <w:sz w:val="24"/>
          <w:lang w:eastAsia="zh-CN"/>
        </w:rPr>
        <w:t>）</w:t>
      </w:r>
      <w:r>
        <w:rPr>
          <w:rFonts w:hint="eastAsia" w:ascii="仿宋" w:hAnsi="仿宋" w:eastAsia="仿宋" w:cs="仿宋"/>
          <w:b w:val="0"/>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color w:val="auto"/>
          <w:sz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仿宋" w:hAnsi="仿宋" w:eastAsia="仿宋" w:cs="仿宋"/>
          <w:b/>
          <w:bCs/>
          <w:color w:val="auto"/>
          <w:sz w:val="24"/>
          <w:szCs w:val="32"/>
          <w:highlight w:val="none"/>
          <w:lang w:val="en-US" w:eastAsia="zh-CN"/>
        </w:rPr>
      </w:pPr>
      <w:r>
        <w:rPr>
          <w:rFonts w:hint="eastAsia" w:ascii="仿宋" w:hAnsi="仿宋" w:eastAsia="仿宋" w:cs="仿宋"/>
          <w:b/>
          <w:bCs/>
          <w:color w:val="auto"/>
          <w:sz w:val="24"/>
          <w:szCs w:val="32"/>
          <w:highlight w:val="none"/>
          <w:lang w:val="en-US" w:eastAsia="zh-CN"/>
        </w:rPr>
        <w:t>二、满足本项目特定资格条件的证明材料</w:t>
      </w:r>
    </w:p>
    <w:p>
      <w:pPr>
        <w:pStyle w:val="1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000000" w:themeColor="text1"/>
          <w:kern w:val="2"/>
          <w:sz w:val="24"/>
          <w:szCs w:val="24"/>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lang w:val="en-US" w:eastAsia="zh-CN" w:bidi="ar-SA"/>
          <w14:textFill>
            <w14:solidFill>
              <w14:schemeClr w14:val="tx1"/>
            </w14:solidFill>
          </w14:textFill>
        </w:rPr>
        <w:t>无。</w:t>
      </w:r>
    </w:p>
    <w:p>
      <w:pPr>
        <w:spacing w:line="360" w:lineRule="auto"/>
        <w:ind w:firstLine="241" w:firstLineChars="100"/>
        <w:rPr>
          <w:rFonts w:hint="eastAsia" w:ascii="仿宋" w:hAnsi="仿宋" w:eastAsia="仿宋" w:cs="仿宋"/>
          <w:b/>
          <w:bCs w:val="0"/>
          <w:color w:val="auto"/>
          <w:sz w:val="24"/>
          <w:lang w:eastAsia="zh-CN"/>
        </w:rPr>
      </w:pPr>
    </w:p>
    <w:p>
      <w:pPr>
        <w:spacing w:line="360" w:lineRule="auto"/>
        <w:ind w:firstLine="482" w:firstLineChars="200"/>
        <w:outlineLvl w:val="1"/>
        <w:rPr>
          <w:rFonts w:ascii="仿宋" w:hAnsi="仿宋" w:eastAsia="仿宋" w:cs="仿宋"/>
          <w:b/>
          <w:bCs/>
          <w:color w:val="auto"/>
          <w:sz w:val="24"/>
          <w:szCs w:val="22"/>
        </w:rPr>
      </w:pPr>
      <w:r>
        <w:rPr>
          <w:rFonts w:hint="eastAsia" w:ascii="仿宋" w:hAnsi="仿宋" w:eastAsia="仿宋" w:cs="仿宋"/>
          <w:b/>
          <w:bCs w:val="0"/>
          <w:color w:val="auto"/>
          <w:sz w:val="24"/>
          <w:lang w:eastAsia="zh-CN"/>
        </w:rPr>
        <w:t>三</w:t>
      </w:r>
      <w:r>
        <w:rPr>
          <w:rFonts w:hint="eastAsia" w:ascii="仿宋" w:hAnsi="仿宋" w:eastAsia="仿宋" w:cs="仿宋"/>
          <w:b/>
          <w:bCs w:val="0"/>
          <w:color w:val="auto"/>
          <w:sz w:val="24"/>
        </w:rPr>
        <w:t>、</w:t>
      </w:r>
      <w:r>
        <w:rPr>
          <w:rFonts w:hint="eastAsia" w:ascii="仿宋" w:hAnsi="仿宋" w:eastAsia="仿宋" w:cs="仿宋"/>
          <w:b/>
          <w:bCs w:val="0"/>
          <w:color w:val="auto"/>
          <w:sz w:val="24"/>
          <w:lang w:eastAsia="zh-CN"/>
        </w:rPr>
        <w:t>满足本项目</w:t>
      </w:r>
      <w:r>
        <w:rPr>
          <w:rFonts w:hint="eastAsia" w:ascii="仿宋" w:hAnsi="仿宋" w:eastAsia="仿宋" w:cs="仿宋"/>
          <w:b/>
          <w:bCs w:val="0"/>
          <w:color w:val="auto"/>
          <w:sz w:val="24"/>
        </w:rPr>
        <w:t>其他</w:t>
      </w:r>
      <w:r>
        <w:rPr>
          <w:rFonts w:hint="eastAsia" w:ascii="仿宋" w:hAnsi="仿宋" w:eastAsia="仿宋" w:cs="仿宋"/>
          <w:b/>
          <w:bCs w:val="0"/>
          <w:color w:val="auto"/>
          <w:sz w:val="24"/>
          <w:szCs w:val="22"/>
        </w:rPr>
        <w:t>具有类似效力的</w:t>
      </w:r>
      <w:r>
        <w:rPr>
          <w:rFonts w:hint="eastAsia" w:ascii="仿宋" w:hAnsi="仿宋" w:eastAsia="仿宋" w:cs="仿宋"/>
          <w:b/>
          <w:bCs/>
          <w:color w:val="auto"/>
          <w:sz w:val="24"/>
          <w:szCs w:val="22"/>
        </w:rPr>
        <w:t>证明材料</w:t>
      </w:r>
    </w:p>
    <w:p>
      <w:pPr>
        <w:spacing w:line="360" w:lineRule="auto"/>
        <w:ind w:firstLine="480" w:firstLineChars="200"/>
        <w:rPr>
          <w:rFonts w:hint="eastAsia" w:ascii="仿宋" w:hAnsi="仿宋" w:eastAsia="仿宋" w:cs="仿宋"/>
          <w:bCs/>
          <w:color w:val="auto"/>
          <w:kern w:val="2"/>
          <w:sz w:val="24"/>
          <w:szCs w:val="24"/>
          <w:lang w:val="en-US" w:eastAsia="zh-CN" w:bidi="ar-SA"/>
        </w:rPr>
      </w:pPr>
      <w:r>
        <w:rPr>
          <w:rFonts w:hint="eastAsia" w:ascii="仿宋" w:hAnsi="仿宋" w:eastAsia="仿宋" w:cs="仿宋"/>
          <w:color w:val="auto"/>
          <w:sz w:val="24"/>
        </w:rPr>
        <w:t>法定代表人身份证明书原件（供应商代表为法定代表人时提供）或法定代</w:t>
      </w:r>
      <w:r>
        <w:rPr>
          <w:rFonts w:hint="eastAsia" w:ascii="仿宋" w:hAnsi="仿宋" w:eastAsia="仿宋" w:cs="仿宋"/>
          <w:bCs/>
          <w:color w:val="auto"/>
          <w:kern w:val="2"/>
          <w:sz w:val="24"/>
          <w:szCs w:val="24"/>
          <w:lang w:val="en-US" w:eastAsia="zh-CN" w:bidi="ar-SA"/>
        </w:rPr>
        <w:t>表人授权委托书原件（供应商代表为非法定代表人时提供）。</w:t>
      </w:r>
    </w:p>
    <w:p>
      <w:pPr>
        <w:spacing w:line="360" w:lineRule="auto"/>
        <w:rPr>
          <w:rFonts w:hint="eastAsia" w:ascii="仿宋" w:hAnsi="仿宋" w:eastAsia="仿宋" w:cs="仿宋"/>
          <w:b/>
          <w:bCs/>
          <w:color w:val="auto"/>
          <w:sz w:val="24"/>
        </w:rPr>
      </w:pPr>
    </w:p>
    <w:p>
      <w:pPr>
        <w:spacing w:line="360" w:lineRule="auto"/>
        <w:ind w:firstLine="0" w:firstLineChars="0"/>
        <w:jc w:val="left"/>
        <w:rPr>
          <w:rFonts w:hint="eastAsia" w:ascii="仿宋" w:hAnsi="仿宋" w:eastAsia="仿宋" w:cs="仿宋"/>
          <w:b/>
          <w:bCs/>
          <w:color w:val="auto"/>
          <w:sz w:val="24"/>
        </w:rPr>
      </w:pPr>
    </w:p>
    <w:p>
      <w:pPr>
        <w:spacing w:line="360" w:lineRule="auto"/>
        <w:ind w:firstLine="0" w:firstLineChars="0"/>
        <w:jc w:val="left"/>
        <w:rPr>
          <w:rFonts w:hint="eastAsia" w:ascii="仿宋" w:hAnsi="仿宋" w:eastAsia="仿宋" w:cs="仿宋"/>
          <w:b/>
          <w:color w:val="auto"/>
          <w:sz w:val="24"/>
        </w:rPr>
      </w:pPr>
      <w:r>
        <w:rPr>
          <w:rFonts w:hint="eastAsia" w:ascii="仿宋" w:hAnsi="仿宋" w:eastAsia="仿宋" w:cs="仿宋"/>
          <w:b/>
          <w:bCs/>
          <w:color w:val="auto"/>
          <w:sz w:val="24"/>
        </w:rPr>
        <w:t>注：</w:t>
      </w:r>
      <w:r>
        <w:rPr>
          <w:rFonts w:hint="eastAsia" w:ascii="仿宋" w:hAnsi="仿宋" w:eastAsia="仿宋" w:cs="仿宋"/>
          <w:b/>
          <w:color w:val="auto"/>
          <w:sz w:val="24"/>
        </w:rPr>
        <w:t>1</w:t>
      </w:r>
      <w:r>
        <w:rPr>
          <w:rFonts w:hint="eastAsia" w:ascii="仿宋" w:hAnsi="仿宋" w:eastAsia="仿宋" w:cs="仿宋"/>
          <w:b/>
          <w:color w:val="auto"/>
          <w:sz w:val="24"/>
          <w:lang w:val="en-US" w:eastAsia="zh-CN"/>
        </w:rPr>
        <w:t>.</w:t>
      </w:r>
      <w:r>
        <w:rPr>
          <w:rFonts w:hint="eastAsia" w:ascii="仿宋" w:hAnsi="仿宋" w:eastAsia="仿宋" w:cs="仿宋"/>
          <w:b/>
          <w:color w:val="auto"/>
          <w:sz w:val="24"/>
        </w:rPr>
        <w:t>本章要求提供的证件都应在有效期内，所有影印件都须</w:t>
      </w:r>
      <w:r>
        <w:rPr>
          <w:rFonts w:hint="eastAsia" w:ascii="仿宋" w:hAnsi="仿宋" w:eastAsia="仿宋" w:cs="仿宋"/>
          <w:b/>
          <w:color w:val="auto"/>
          <w:sz w:val="24"/>
          <w:lang w:eastAsia="zh-CN"/>
        </w:rPr>
        <w:t>加盖公</w:t>
      </w:r>
      <w:r>
        <w:rPr>
          <w:rFonts w:hint="eastAsia" w:ascii="仿宋" w:hAnsi="仿宋" w:eastAsia="仿宋" w:cs="仿宋"/>
          <w:b/>
          <w:color w:val="auto"/>
          <w:sz w:val="24"/>
        </w:rPr>
        <w:t>章。</w:t>
      </w:r>
    </w:p>
    <w:p>
      <w:pPr>
        <w:spacing w:line="360" w:lineRule="auto"/>
        <w:ind w:firstLine="482" w:firstLineChars="200"/>
        <w:rPr>
          <w:rFonts w:hint="eastAsia" w:ascii="仿宋" w:hAnsi="仿宋" w:eastAsia="仿宋" w:cs="仿宋"/>
          <w:b/>
          <w:color w:val="auto"/>
          <w:sz w:val="24"/>
        </w:rPr>
      </w:pPr>
      <w:r>
        <w:rPr>
          <w:rFonts w:hint="eastAsia" w:ascii="仿宋" w:hAnsi="仿宋" w:eastAsia="仿宋" w:cs="仿宋"/>
          <w:b/>
          <w:color w:val="auto"/>
          <w:sz w:val="24"/>
          <w:lang w:val="en-US" w:eastAsia="zh-CN"/>
        </w:rPr>
        <w:t>2.</w:t>
      </w:r>
      <w:r>
        <w:rPr>
          <w:rFonts w:hint="eastAsia" w:ascii="仿宋" w:hAnsi="仿宋" w:eastAsia="仿宋" w:cs="仿宋"/>
          <w:b/>
          <w:color w:val="auto"/>
          <w:sz w:val="24"/>
        </w:rPr>
        <w:t>未按本章要求提供齐全相关资格性审查资料的、或者经审查未响应本章相关要求的，资格审查不能通过。</w:t>
      </w:r>
    </w:p>
    <w:p>
      <w:pPr>
        <w:spacing w:line="400" w:lineRule="exact"/>
        <w:ind w:firstLine="482" w:firstLineChars="200"/>
        <w:rPr>
          <w:rFonts w:ascii="仿宋" w:hAnsi="仿宋" w:eastAsia="仿宋" w:cs="仿宋"/>
          <w:b/>
          <w:bCs/>
          <w:color w:val="auto"/>
          <w:sz w:val="24"/>
        </w:rPr>
      </w:pPr>
    </w:p>
    <w:p>
      <w:pPr>
        <w:pStyle w:val="23"/>
        <w:keepNext w:val="0"/>
        <w:keepLines w:val="0"/>
        <w:pageBreakBefore w:val="0"/>
        <w:widowControl/>
        <w:kinsoku/>
        <w:wordWrap/>
        <w:overflowPunct/>
        <w:topLinePunct w:val="0"/>
        <w:autoSpaceDE/>
        <w:autoSpaceDN/>
        <w:bidi w:val="0"/>
        <w:adjustRightInd/>
        <w:snapToGrid/>
        <w:spacing w:before="157" w:beforeLines="50" w:beforeAutospacing="0" w:after="313" w:afterLines="100" w:line="360" w:lineRule="auto"/>
        <w:jc w:val="center"/>
        <w:textAlignment w:val="auto"/>
        <w:outlineLvl w:val="0"/>
        <w:rPr>
          <w:rFonts w:ascii="仿宋" w:hAnsi="仿宋" w:eastAsia="仿宋" w:cs="仿宋"/>
          <w:b/>
          <w:bCs/>
          <w:color w:val="auto"/>
          <w:kern w:val="2"/>
          <w:sz w:val="36"/>
          <w:szCs w:val="36"/>
          <w:highlight w:val="green"/>
        </w:rPr>
      </w:pPr>
      <w:r>
        <w:rPr>
          <w:rFonts w:hint="eastAsia" w:ascii="仿宋" w:hAnsi="仿宋" w:eastAsia="仿宋" w:cs="仿宋"/>
          <w:b/>
          <w:bCs/>
          <w:color w:val="auto"/>
          <w:kern w:val="2"/>
          <w:sz w:val="36"/>
          <w:szCs w:val="36"/>
        </w:rPr>
        <w:br w:type="page"/>
      </w:r>
      <w:bookmarkStart w:id="29" w:name="_Toc18202"/>
      <w:bookmarkStart w:id="30" w:name="_Toc7469"/>
      <w:bookmarkStart w:id="31" w:name="_Toc9934"/>
      <w:bookmarkStart w:id="32" w:name="_Toc16028"/>
      <w:bookmarkStart w:id="33" w:name="_Toc15132"/>
      <w:bookmarkStart w:id="34" w:name="_Toc28624"/>
      <w:r>
        <w:rPr>
          <w:rFonts w:hint="eastAsia" w:ascii="仿宋" w:hAnsi="仿宋" w:eastAsia="仿宋" w:cs="仿宋"/>
          <w:b/>
          <w:bCs/>
          <w:color w:val="auto"/>
          <w:kern w:val="2"/>
          <w:sz w:val="36"/>
          <w:szCs w:val="36"/>
        </w:rPr>
        <w:t>第五章 采购项目内容及商务要求</w:t>
      </w:r>
      <w:bookmarkEnd w:id="29"/>
      <w:bookmarkEnd w:id="30"/>
      <w:bookmarkEnd w:id="31"/>
      <w:bookmarkEnd w:id="32"/>
      <w:bookmarkEnd w:id="33"/>
      <w:bookmarkEnd w:id="34"/>
    </w:p>
    <w:p>
      <w:pPr>
        <w:pStyle w:val="5"/>
        <w:keepLines/>
        <w:spacing w:before="240" w:beforeLines="100" w:line="360" w:lineRule="auto"/>
        <w:ind w:firstLine="482" w:firstLineChars="200"/>
        <w:rPr>
          <w:rFonts w:ascii="仿宋" w:hAnsi="仿宋" w:eastAsia="仿宋" w:cs="仿宋"/>
          <w:bCs/>
          <w:color w:val="auto"/>
          <w:sz w:val="24"/>
        </w:rPr>
      </w:pPr>
      <w:bookmarkStart w:id="35" w:name="_Toc18538"/>
      <w:r>
        <w:rPr>
          <w:rFonts w:hint="eastAsia" w:ascii="仿宋" w:hAnsi="仿宋" w:eastAsia="仿宋" w:cs="仿宋"/>
          <w:bCs/>
          <w:color w:val="auto"/>
          <w:sz w:val="24"/>
          <w:szCs w:val="24"/>
        </w:rPr>
        <w:t>一、项目概述</w:t>
      </w:r>
    </w:p>
    <w:p>
      <w:pPr>
        <w:numPr>
          <w:ilvl w:val="0"/>
          <w:numId w:val="0"/>
        </w:numPr>
        <w:spacing w:line="360" w:lineRule="auto"/>
        <w:ind w:leftChars="0" w:firstLine="480" w:firstLineChars="200"/>
        <w:jc w:val="left"/>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富顺县中医医院CT袋、DR袋、药袋、黄色医疗垃圾袋等采购项目。</w:t>
      </w:r>
    </w:p>
    <w:p>
      <w:pPr>
        <w:numPr>
          <w:ilvl w:val="0"/>
          <w:numId w:val="0"/>
        </w:numPr>
        <w:spacing w:line="360" w:lineRule="auto"/>
        <w:ind w:leftChars="0" w:firstLine="482" w:firstLineChars="200"/>
        <w:jc w:val="left"/>
        <w:outlineLvl w:val="9"/>
        <w:rPr>
          <w:rFonts w:hint="eastAsia" w:ascii="仿宋" w:hAnsi="仿宋" w:eastAsia="仿宋" w:cs="仿宋"/>
          <w:b/>
          <w:bCs/>
          <w:color w:val="auto"/>
          <w:kern w:val="2"/>
          <w:sz w:val="24"/>
          <w:szCs w:val="24"/>
          <w:lang w:val="en-US" w:eastAsia="zh-CN" w:bidi="ar-SA"/>
        </w:rPr>
      </w:pPr>
    </w:p>
    <w:p>
      <w:pPr>
        <w:numPr>
          <w:ilvl w:val="0"/>
          <w:numId w:val="0"/>
        </w:numPr>
        <w:spacing w:line="360" w:lineRule="auto"/>
        <w:ind w:leftChars="0" w:firstLine="482" w:firstLineChars="200"/>
        <w:jc w:val="left"/>
        <w:outlineLvl w:val="1"/>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★二、</w:t>
      </w:r>
      <w:bookmarkEnd w:id="35"/>
      <w:r>
        <w:rPr>
          <w:rFonts w:hint="eastAsia" w:ascii="仿宋" w:hAnsi="仿宋" w:eastAsia="仿宋" w:cs="仿宋"/>
          <w:b/>
          <w:bCs/>
          <w:color w:val="auto"/>
          <w:kern w:val="2"/>
          <w:sz w:val="24"/>
          <w:szCs w:val="24"/>
          <w:lang w:val="en-US" w:eastAsia="zh-CN" w:bidi="ar-SA"/>
        </w:rPr>
        <w:t>采购标的</w:t>
      </w:r>
    </w:p>
    <w:p>
      <w:pPr>
        <w:pStyle w:val="12"/>
        <w:rPr>
          <w:rFonts w:hint="eastAsia"/>
          <w:lang w:val="en-US" w:eastAsia="zh-CN"/>
        </w:rPr>
      </w:pPr>
    </w:p>
    <w:tbl>
      <w:tblPr>
        <w:tblStyle w:val="26"/>
        <w:tblpPr w:leftFromText="180" w:rightFromText="180" w:vertAnchor="text" w:horzAnchor="margin" w:tblpXSpec="center" w:tblpY="-11"/>
        <w:tblOverlap w:val="never"/>
        <w:tblW w:w="8351" w:type="dxa"/>
        <w:tblInd w:w="0" w:type="dxa"/>
        <w:tblLayout w:type="fixed"/>
        <w:tblCellMar>
          <w:top w:w="15" w:type="dxa"/>
          <w:left w:w="15" w:type="dxa"/>
          <w:bottom w:w="15" w:type="dxa"/>
          <w:right w:w="15" w:type="dxa"/>
        </w:tblCellMar>
      </w:tblPr>
      <w:tblGrid>
        <w:gridCol w:w="769"/>
        <w:gridCol w:w="1975"/>
        <w:gridCol w:w="1712"/>
        <w:gridCol w:w="1637"/>
        <w:gridCol w:w="1212"/>
        <w:gridCol w:w="1046"/>
      </w:tblGrid>
      <w:tr>
        <w:tblPrEx>
          <w:tblCellMar>
            <w:top w:w="15" w:type="dxa"/>
            <w:left w:w="15" w:type="dxa"/>
            <w:bottom w:w="15" w:type="dxa"/>
            <w:right w:w="15" w:type="dxa"/>
          </w:tblCellMar>
        </w:tblPrEx>
        <w:trPr>
          <w:trHeight w:val="89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b/>
                <w:bCs/>
                <w:sz w:val="20"/>
                <w:szCs w:val="21"/>
                <w:lang w:val="en-US" w:eastAsia="zh-CN"/>
              </w:rPr>
            </w:pPr>
            <w:r>
              <w:rPr>
                <w:rFonts w:hint="eastAsia" w:ascii="仿宋" w:hAnsi="仿宋" w:eastAsia="仿宋" w:cs="仿宋"/>
                <w:b/>
                <w:bCs/>
                <w:i w:val="0"/>
                <w:iCs w:val="0"/>
                <w:color w:val="000000"/>
                <w:kern w:val="0"/>
                <w:sz w:val="21"/>
                <w:szCs w:val="21"/>
                <w:u w:val="none"/>
                <w:lang w:val="en-US" w:eastAsia="zh-CN" w:bidi="ar"/>
              </w:rPr>
              <w:t>标的号</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b/>
                <w:bCs/>
                <w:color w:val="000000" w:themeColor="text1"/>
                <w:kern w:val="2"/>
                <w:sz w:val="22"/>
                <w:szCs w:val="22"/>
                <w:lang w:val="en-US" w:eastAsia="zh-CN" w:bidi="ar-SA"/>
                <w14:textFill>
                  <w14:solidFill>
                    <w14:schemeClr w14:val="tx1"/>
                  </w14:solidFill>
                </w14:textFill>
              </w:rPr>
            </w:pPr>
            <w:r>
              <w:rPr>
                <w:rFonts w:hint="eastAsia" w:ascii="仿宋" w:hAnsi="仿宋" w:eastAsia="仿宋" w:cs="仿宋"/>
                <w:b/>
                <w:bCs/>
                <w:i w:val="0"/>
                <w:iCs w:val="0"/>
                <w:color w:val="000000"/>
                <w:kern w:val="0"/>
                <w:sz w:val="21"/>
                <w:szCs w:val="21"/>
                <w:u w:val="none"/>
                <w:lang w:val="en-US" w:eastAsia="zh-CN" w:bidi="ar"/>
              </w:rPr>
              <w:t>标的名称</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b/>
                <w:bCs/>
                <w:color w:val="000000" w:themeColor="text1"/>
                <w:kern w:val="2"/>
                <w:sz w:val="22"/>
                <w:szCs w:val="22"/>
                <w:lang w:val="en-US" w:eastAsia="zh-CN" w:bidi="ar-SA"/>
                <w14:textFill>
                  <w14:solidFill>
                    <w14:schemeClr w14:val="tx1"/>
                  </w14:solidFill>
                </w14:textFill>
              </w:rPr>
            </w:pPr>
            <w:r>
              <w:rPr>
                <w:rFonts w:hint="eastAsia" w:ascii="仿宋" w:hAnsi="仿宋" w:eastAsia="仿宋" w:cs="仿宋"/>
                <w:b/>
                <w:bCs/>
                <w:i w:val="0"/>
                <w:iCs w:val="0"/>
                <w:color w:val="000000"/>
                <w:kern w:val="0"/>
                <w:sz w:val="22"/>
                <w:szCs w:val="22"/>
                <w:u w:val="none"/>
                <w:lang w:val="en-US" w:eastAsia="zh-CN" w:bidi="ar"/>
              </w:rPr>
              <w:t>袋子厚度</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b/>
                <w:bCs/>
                <w:color w:val="000000" w:themeColor="text1"/>
                <w:kern w:val="2"/>
                <w:sz w:val="22"/>
                <w:szCs w:val="22"/>
                <w:lang w:val="en-US" w:eastAsia="zh-CN" w:bidi="ar-SA"/>
                <w14:textFill>
                  <w14:solidFill>
                    <w14:schemeClr w14:val="tx1"/>
                  </w14:solidFill>
                </w14:textFill>
              </w:rPr>
            </w:pPr>
            <w:r>
              <w:rPr>
                <w:rFonts w:hint="eastAsia" w:ascii="仿宋" w:hAnsi="仿宋" w:eastAsia="仿宋" w:cs="仿宋"/>
                <w:b/>
                <w:bCs/>
                <w:i w:val="0"/>
                <w:iCs w:val="0"/>
                <w:color w:val="000000"/>
                <w:kern w:val="0"/>
                <w:sz w:val="22"/>
                <w:szCs w:val="22"/>
                <w:u w:val="none"/>
                <w:lang w:val="en-US" w:eastAsia="zh-CN" w:bidi="ar"/>
              </w:rPr>
              <w:t>型号（mm）</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b/>
                <w:bCs/>
                <w:color w:val="000000" w:themeColor="text1"/>
                <w:kern w:val="2"/>
                <w:sz w:val="22"/>
                <w:szCs w:val="22"/>
                <w:lang w:val="en-US" w:eastAsia="zh-CN" w:bidi="ar-SA"/>
                <w14:textFill>
                  <w14:solidFill>
                    <w14:schemeClr w14:val="tx1"/>
                  </w14:solidFill>
                </w14:textFill>
              </w:rPr>
            </w:pPr>
            <w:r>
              <w:rPr>
                <w:rFonts w:hint="eastAsia" w:ascii="仿宋" w:hAnsi="仿宋" w:eastAsia="仿宋" w:cs="仿宋"/>
                <w:b/>
                <w:bCs/>
                <w:i w:val="0"/>
                <w:iCs w:val="0"/>
                <w:color w:val="000000"/>
                <w:kern w:val="0"/>
                <w:sz w:val="22"/>
                <w:szCs w:val="22"/>
                <w:u w:val="none"/>
                <w:lang w:val="en-US" w:eastAsia="zh-CN" w:bidi="ar"/>
              </w:rPr>
              <w:t>预计数量</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（份）</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b/>
                <w:bCs/>
                <w:color w:val="000000" w:themeColor="text1"/>
                <w:kern w:val="2"/>
                <w:sz w:val="22"/>
                <w:szCs w:val="22"/>
                <w:lang w:val="en-US" w:eastAsia="zh-CN" w:bidi="ar-SA"/>
                <w14:textFill>
                  <w14:solidFill>
                    <w14:schemeClr w14:val="tx1"/>
                  </w14:solidFill>
                </w14:textFill>
              </w:rPr>
            </w:pPr>
            <w:r>
              <w:rPr>
                <w:rFonts w:hint="eastAsia" w:ascii="仿宋" w:hAnsi="仿宋" w:eastAsia="仿宋" w:cs="仿宋"/>
                <w:b/>
                <w:bCs/>
                <w:i w:val="0"/>
                <w:iCs w:val="0"/>
                <w:color w:val="000000"/>
                <w:kern w:val="0"/>
                <w:sz w:val="21"/>
                <w:szCs w:val="21"/>
                <w:u w:val="none"/>
                <w:lang w:val="en-US" w:eastAsia="zh-CN" w:bidi="ar"/>
              </w:rPr>
              <w:t>每份限价</w:t>
            </w:r>
            <w:r>
              <w:rPr>
                <w:rFonts w:hint="eastAsia" w:ascii="仿宋" w:hAnsi="仿宋" w:eastAsia="仿宋" w:cs="仿宋"/>
                <w:b/>
                <w:bCs/>
                <w:i w:val="0"/>
                <w:iCs w:val="0"/>
                <w:color w:val="000000"/>
                <w:kern w:val="0"/>
                <w:sz w:val="21"/>
                <w:szCs w:val="21"/>
                <w:u w:val="none"/>
                <w:lang w:val="en-US" w:eastAsia="zh-CN" w:bidi="ar"/>
              </w:rPr>
              <w:br w:type="textWrapping"/>
            </w:r>
            <w:r>
              <w:rPr>
                <w:rFonts w:hint="eastAsia" w:ascii="仿宋" w:hAnsi="仿宋" w:eastAsia="仿宋" w:cs="仿宋"/>
                <w:b/>
                <w:bCs/>
                <w:i w:val="0"/>
                <w:iCs w:val="0"/>
                <w:color w:val="000000"/>
                <w:kern w:val="0"/>
                <w:sz w:val="21"/>
                <w:szCs w:val="21"/>
                <w:u w:val="none"/>
                <w:lang w:val="en-US" w:eastAsia="zh-CN" w:bidi="ar"/>
              </w:rPr>
              <w:t>（元）</w:t>
            </w:r>
          </w:p>
        </w:tc>
      </w:tr>
      <w:tr>
        <w:tblPrEx>
          <w:tblCellMar>
            <w:top w:w="15" w:type="dxa"/>
            <w:left w:w="15" w:type="dxa"/>
            <w:bottom w:w="15" w:type="dxa"/>
            <w:right w:w="15" w:type="dxa"/>
          </w:tblCellMar>
        </w:tblPrEx>
        <w:trPr>
          <w:trHeight w:val="603"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CT片袋</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9丝及以上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390×510（±2%）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25*1000个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270</w:t>
            </w:r>
          </w:p>
        </w:tc>
      </w:tr>
      <w:tr>
        <w:tblPrEx>
          <w:tblCellMar>
            <w:top w:w="15" w:type="dxa"/>
            <w:left w:w="15" w:type="dxa"/>
            <w:bottom w:w="15" w:type="dxa"/>
            <w:right w:w="15" w:type="dxa"/>
          </w:tblCellMar>
        </w:tblPrEx>
        <w:trPr>
          <w:trHeight w:val="839"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DR片袋</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9丝及以上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310×480（±2%）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10*1000个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210</w:t>
            </w:r>
          </w:p>
        </w:tc>
      </w:tr>
      <w:tr>
        <w:tblPrEx>
          <w:tblCellMar>
            <w:top w:w="15" w:type="dxa"/>
            <w:left w:w="15" w:type="dxa"/>
            <w:bottom w:w="15" w:type="dxa"/>
            <w:right w:w="15" w:type="dxa"/>
          </w:tblCellMar>
        </w:tblPrEx>
        <w:trPr>
          <w:trHeight w:val="90"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3</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煎药袋（大）</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40g每平方米及以上无纺布</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450×320（±2%）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7*1000个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780</w:t>
            </w:r>
          </w:p>
        </w:tc>
      </w:tr>
      <w:tr>
        <w:tblPrEx>
          <w:tblCellMar>
            <w:top w:w="15" w:type="dxa"/>
            <w:left w:w="15" w:type="dxa"/>
            <w:bottom w:w="15" w:type="dxa"/>
            <w:right w:w="15" w:type="dxa"/>
          </w:tblCellMar>
        </w:tblPrEx>
        <w:trPr>
          <w:trHeight w:val="903"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4</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煎药袋（中）</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40g每平方米及以上无纺布</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350×250（±2%）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16*1000个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486</w:t>
            </w:r>
          </w:p>
        </w:tc>
      </w:tr>
      <w:tr>
        <w:tblPrEx>
          <w:tblCellMar>
            <w:top w:w="15" w:type="dxa"/>
            <w:left w:w="15" w:type="dxa"/>
            <w:bottom w:w="15" w:type="dxa"/>
            <w:right w:w="15" w:type="dxa"/>
          </w:tblCellMar>
        </w:tblPrEx>
        <w:trPr>
          <w:trHeight w:val="1104"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5</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煎药袋（小）</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40g每平方米及以上无纺布</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200×150（±2%）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4*1000个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295</w:t>
            </w:r>
          </w:p>
        </w:tc>
      </w:tr>
      <w:tr>
        <w:tblPrEx>
          <w:tblCellMar>
            <w:top w:w="15" w:type="dxa"/>
            <w:left w:w="15" w:type="dxa"/>
            <w:bottom w:w="15" w:type="dxa"/>
            <w:right w:w="15" w:type="dxa"/>
          </w:tblCellMar>
        </w:tblPrEx>
        <w:trPr>
          <w:trHeight w:val="889"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6</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药房袋子（小号）</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2.8丝及以上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(200+55*2)×330（±2%）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320*1000个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47</w:t>
            </w:r>
          </w:p>
        </w:tc>
      </w:tr>
      <w:tr>
        <w:tblPrEx>
          <w:tblCellMar>
            <w:top w:w="15" w:type="dxa"/>
            <w:left w:w="15" w:type="dxa"/>
            <w:bottom w:w="15" w:type="dxa"/>
            <w:right w:w="15" w:type="dxa"/>
          </w:tblCellMar>
        </w:tblPrEx>
        <w:trPr>
          <w:trHeight w:val="858"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7</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药房袋子（大号）</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2.8丝及以上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（300+75*2）×480（±2%）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149.84*1000个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r>
      <w:tr>
        <w:tblPrEx>
          <w:tblCellMar>
            <w:top w:w="15" w:type="dxa"/>
            <w:left w:w="15" w:type="dxa"/>
            <w:bottom w:w="15" w:type="dxa"/>
            <w:right w:w="15" w:type="dxa"/>
          </w:tblCellMar>
        </w:tblPrEx>
        <w:trPr>
          <w:trHeight w:val="706"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8</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中号白色垃圾袋（48#）</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4丝及以上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600*650（±2%）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25*1000个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220</w:t>
            </w:r>
          </w:p>
        </w:tc>
      </w:tr>
      <w:tr>
        <w:tblPrEx>
          <w:tblCellMar>
            <w:top w:w="15" w:type="dxa"/>
            <w:left w:w="15" w:type="dxa"/>
            <w:bottom w:w="15" w:type="dxa"/>
            <w:right w:w="15" w:type="dxa"/>
          </w:tblCellMar>
        </w:tblPrEx>
        <w:trPr>
          <w:trHeight w:val="868"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9</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小号黄色医疗垃圾袋（34#）</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2.8丝及以上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500*520（±2%）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33*1000个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170</w:t>
            </w:r>
          </w:p>
        </w:tc>
      </w:tr>
      <w:tr>
        <w:tblPrEx>
          <w:tblCellMar>
            <w:top w:w="15" w:type="dxa"/>
            <w:left w:w="15" w:type="dxa"/>
            <w:bottom w:w="15" w:type="dxa"/>
            <w:right w:w="15" w:type="dxa"/>
          </w:tblCellMar>
        </w:tblPrEx>
        <w:trPr>
          <w:trHeight w:val="731"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中号黄色医疗垃圾袋（48#）</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4丝及以上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600*650（±2%）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82*1000个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260</w:t>
            </w:r>
          </w:p>
        </w:tc>
      </w:tr>
      <w:tr>
        <w:tblPrEx>
          <w:tblCellMar>
            <w:top w:w="15" w:type="dxa"/>
            <w:left w:w="15" w:type="dxa"/>
            <w:bottom w:w="15" w:type="dxa"/>
            <w:right w:w="15" w:type="dxa"/>
          </w:tblCellMar>
        </w:tblPrEx>
        <w:trPr>
          <w:trHeight w:val="756"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11</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平口大号黄色医疗垃圾袋（90#）</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5丝及以上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900*1100（±2%）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30*1000个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860</w:t>
            </w:r>
          </w:p>
        </w:tc>
      </w:tr>
      <w:tr>
        <w:tblPrEx>
          <w:tblCellMar>
            <w:top w:w="15" w:type="dxa"/>
            <w:left w:w="15" w:type="dxa"/>
            <w:bottom w:w="15" w:type="dxa"/>
            <w:right w:w="15" w:type="dxa"/>
          </w:tblCellMar>
        </w:tblPrEx>
        <w:trPr>
          <w:trHeight w:val="781"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12</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小号黑色垃圾袋（34#）</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2.8丝及以上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500*520（±2%）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500*1000个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85</w:t>
            </w:r>
          </w:p>
        </w:tc>
      </w:tr>
      <w:tr>
        <w:tblPrEx>
          <w:tblCellMar>
            <w:top w:w="15" w:type="dxa"/>
            <w:left w:w="15" w:type="dxa"/>
            <w:bottom w:w="15" w:type="dxa"/>
            <w:right w:w="15" w:type="dxa"/>
          </w:tblCellMar>
        </w:tblPrEx>
        <w:trPr>
          <w:trHeight w:val="781"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13</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中号黑色垃圾袋（48#）</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4丝及以上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700*730（±2%）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90*1000个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250</w:t>
            </w:r>
          </w:p>
        </w:tc>
      </w:tr>
      <w:tr>
        <w:tblPrEx>
          <w:tblCellMar>
            <w:top w:w="15" w:type="dxa"/>
            <w:left w:w="15" w:type="dxa"/>
            <w:bottom w:w="15" w:type="dxa"/>
            <w:right w:w="15" w:type="dxa"/>
          </w:tblCellMar>
        </w:tblPrEx>
        <w:trPr>
          <w:trHeight w:val="743"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14</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大号黑色垃圾袋（55#）</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4丝及以上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750*800（±2%）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20*1000个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300</w:t>
            </w:r>
          </w:p>
        </w:tc>
      </w:tr>
      <w:tr>
        <w:tblPrEx>
          <w:tblCellMar>
            <w:top w:w="15" w:type="dxa"/>
            <w:left w:w="15" w:type="dxa"/>
            <w:bottom w:w="15" w:type="dxa"/>
            <w:right w:w="15" w:type="dxa"/>
          </w:tblCellMar>
        </w:tblPrEx>
        <w:trPr>
          <w:trHeight w:val="718"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15</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平口大号黑色垃圾袋（90#）</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5丝及以上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900*1100（±2%）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20*1000个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700</w:t>
            </w:r>
          </w:p>
        </w:tc>
      </w:tr>
      <w:tr>
        <w:tblPrEx>
          <w:tblCellMar>
            <w:top w:w="15" w:type="dxa"/>
            <w:left w:w="15" w:type="dxa"/>
            <w:bottom w:w="15" w:type="dxa"/>
            <w:right w:w="15" w:type="dxa"/>
          </w:tblCellMar>
        </w:tblPrEx>
        <w:trPr>
          <w:trHeight w:val="708"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16</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中号橘红色垃圾袋（48#）</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4丝及以上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650*650（±2%）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300</w:t>
            </w:r>
          </w:p>
        </w:tc>
      </w:tr>
      <w:tr>
        <w:tblPrEx>
          <w:tblCellMar>
            <w:top w:w="15" w:type="dxa"/>
            <w:left w:w="15" w:type="dxa"/>
            <w:bottom w:w="15" w:type="dxa"/>
            <w:right w:w="15" w:type="dxa"/>
          </w:tblCellMar>
        </w:tblPrEx>
        <w:trPr>
          <w:trHeight w:val="688"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17</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平口大号橘红色垃圾袋（90#）</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5丝及以上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900*1100（±2%）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900</w:t>
            </w:r>
          </w:p>
        </w:tc>
      </w:tr>
      <w:tr>
        <w:tblPrEx>
          <w:tblCellMar>
            <w:top w:w="15" w:type="dxa"/>
            <w:left w:w="15" w:type="dxa"/>
            <w:bottom w:w="15" w:type="dxa"/>
            <w:right w:w="15" w:type="dxa"/>
          </w:tblCellMar>
        </w:tblPrEx>
        <w:trPr>
          <w:trHeight w:val="806"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18</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平口特大号白色垃圾袋</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7丝及以上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1200*1400</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1500</w:t>
            </w:r>
          </w:p>
        </w:tc>
      </w:tr>
      <w:tr>
        <w:tblPrEx>
          <w:tblCellMar>
            <w:top w:w="15" w:type="dxa"/>
            <w:left w:w="15" w:type="dxa"/>
            <w:bottom w:w="15" w:type="dxa"/>
            <w:right w:w="15" w:type="dxa"/>
          </w:tblCellMar>
        </w:tblPrEx>
        <w:trPr>
          <w:trHeight w:val="681"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19</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平口特大号黄色医废垃圾袋</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7丝及以上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1200*1400</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5*1000个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1500</w:t>
            </w:r>
          </w:p>
        </w:tc>
      </w:tr>
      <w:tr>
        <w:tblPrEx>
          <w:tblCellMar>
            <w:top w:w="15" w:type="dxa"/>
            <w:left w:w="15" w:type="dxa"/>
            <w:bottom w:w="15" w:type="dxa"/>
            <w:right w:w="15" w:type="dxa"/>
          </w:tblCellMar>
        </w:tblPrEx>
        <w:trPr>
          <w:trHeight w:val="741"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平口特大号黑色垃圾袋</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7丝及以上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1200*1400</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8.2*1000个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1400</w:t>
            </w:r>
          </w:p>
        </w:tc>
      </w:tr>
      <w:tr>
        <w:tblPrEx>
          <w:tblCellMar>
            <w:top w:w="15" w:type="dxa"/>
            <w:left w:w="15" w:type="dxa"/>
            <w:bottom w:w="15" w:type="dxa"/>
            <w:right w:w="15" w:type="dxa"/>
          </w:tblCellMar>
        </w:tblPrEx>
        <w:trPr>
          <w:trHeight w:val="779"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21</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超市食品包装袋（小号）</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2.8丝及以上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(250+60*2)×380（±2%）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15*1000个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60</w:t>
            </w:r>
          </w:p>
        </w:tc>
      </w:tr>
      <w:tr>
        <w:tblPrEx>
          <w:tblCellMar>
            <w:top w:w="15" w:type="dxa"/>
            <w:left w:w="15" w:type="dxa"/>
            <w:bottom w:w="15" w:type="dxa"/>
            <w:right w:w="15" w:type="dxa"/>
          </w:tblCellMar>
        </w:tblPrEx>
        <w:trPr>
          <w:trHeight w:val="95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22</w:t>
            </w:r>
          </w:p>
        </w:tc>
        <w:tc>
          <w:tcPr>
            <w:tcW w:w="1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超市食品包装袋（大号）</w:t>
            </w:r>
          </w:p>
        </w:tc>
        <w:tc>
          <w:tcPr>
            <w:tcW w:w="17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2.8丝及以上</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（300+75*2）×480（±2%）</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15*1000个</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120</w:t>
            </w:r>
          </w:p>
        </w:tc>
      </w:tr>
      <w:tr>
        <w:tblPrEx>
          <w:tblCellMar>
            <w:top w:w="15" w:type="dxa"/>
            <w:left w:w="15" w:type="dxa"/>
            <w:bottom w:w="15" w:type="dxa"/>
            <w:right w:w="15" w:type="dxa"/>
          </w:tblCellMar>
        </w:tblPrEx>
        <w:trPr>
          <w:trHeight w:val="952" w:hRule="atLeast"/>
        </w:trPr>
        <w:tc>
          <w:tcPr>
            <w:tcW w:w="8351"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注：1份为1000个袋子</w:t>
            </w:r>
          </w:p>
        </w:tc>
      </w:tr>
    </w:tbl>
    <w:p>
      <w:pPr>
        <w:ind w:firstLine="482" w:firstLineChars="200"/>
        <w:rPr>
          <w:rFonts w:hint="eastAsia" w:ascii="仿宋" w:hAnsi="仿宋" w:eastAsia="仿宋" w:cs="仿宋"/>
          <w:b/>
          <w:bCs/>
          <w:color w:val="auto"/>
          <w:kern w:val="2"/>
          <w:sz w:val="24"/>
          <w:szCs w:val="24"/>
          <w:lang w:val="en-US" w:eastAsia="zh-CN" w:bidi="ar-SA"/>
        </w:rPr>
      </w:pPr>
    </w:p>
    <w:p>
      <w:pPr>
        <w:spacing w:line="360" w:lineRule="auto"/>
        <w:ind w:firstLine="482" w:firstLineChars="200"/>
        <w:outlineLvl w:val="1"/>
        <w:rPr>
          <w:rFonts w:hint="eastAsia"/>
          <w:lang w:val="en-US" w:eastAsia="zh-CN"/>
        </w:rPr>
      </w:pPr>
      <w:r>
        <w:rPr>
          <w:rFonts w:hint="eastAsia" w:ascii="仿宋" w:hAnsi="仿宋" w:eastAsia="仿宋" w:cs="仿宋"/>
          <w:b/>
          <w:bCs/>
          <w:color w:val="auto"/>
          <w:kern w:val="2"/>
          <w:sz w:val="24"/>
          <w:szCs w:val="24"/>
          <w:lang w:val="en-US" w:eastAsia="zh-CN" w:bidi="ar-SA"/>
        </w:rPr>
        <w:t>★三、技术参数要求</w:t>
      </w:r>
      <w:bookmarkStart w:id="36" w:name="_Toc16534"/>
      <w:bookmarkStart w:id="37" w:name="_Toc11404"/>
      <w:bookmarkStart w:id="38" w:name="_Toc16029"/>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1、CT片袋技术参数要求</w:t>
      </w:r>
      <w:r>
        <w:rPr>
          <w:rFonts w:hint="eastAsia" w:ascii="仿宋" w:hAnsi="仿宋" w:eastAsia="仿宋" w:cs="仿宋"/>
          <w:b w:val="0"/>
          <w:bCs w:val="0"/>
          <w:color w:val="auto"/>
          <w:sz w:val="24"/>
          <w:szCs w:val="24"/>
          <w:highlight w:val="none"/>
          <w:shd w:val="clear" w:color="auto" w:fill="auto"/>
          <w:lang w:val="en-US" w:eastAsia="zh-CN"/>
        </w:rPr>
        <w:tab/>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CT片袋的材质均采用聚乙烯原料，塑料质地均匀平整，塑料产品有环保认证，符合规定要求。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CT片袋的底色为乳白色，袋子上文字字体为紫色。</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袋子上的标识图案规格为290mm*350mm。</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2、DR片袋技术参数要求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（1）DR片袋的材质均采用聚乙烯原料，塑料质地均匀平整，塑料产品有环保认证，符合规定要求。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（2）DR片袋的底色为乳白色，袋子上文字字体为紫色。</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（3）袋子上的标识图案规格为250mm*320mm。</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drawing>
          <wp:inline distT="0" distB="0" distL="114300" distR="114300">
            <wp:extent cx="2505710" cy="2954020"/>
            <wp:effectExtent l="0" t="0" r="8890" b="17780"/>
            <wp:docPr id="6" name="图片 6" descr="IMG_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3334"/>
                    <pic:cNvPicPr>
                      <a:picLocks noChangeAspect="1"/>
                    </pic:cNvPicPr>
                  </pic:nvPicPr>
                  <pic:blipFill>
                    <a:blip r:embed="rId16"/>
                    <a:stretch>
                      <a:fillRect/>
                    </a:stretch>
                  </pic:blipFill>
                  <pic:spPr>
                    <a:xfrm>
                      <a:off x="0" y="0"/>
                      <a:ext cx="2505710" cy="2954020"/>
                    </a:xfrm>
                    <a:prstGeom prst="rect">
                      <a:avLst/>
                    </a:prstGeom>
                  </pic:spPr>
                </pic:pic>
              </a:graphicData>
            </a:graphic>
          </wp:inline>
        </w:drawing>
      </w:r>
      <w:r>
        <w:rPr>
          <w:rFonts w:hint="eastAsia" w:ascii="仿宋" w:hAnsi="仿宋" w:eastAsia="仿宋" w:cs="仿宋"/>
          <w:b w:val="0"/>
          <w:bCs w:val="0"/>
          <w:color w:val="auto"/>
          <w:sz w:val="24"/>
          <w:szCs w:val="24"/>
          <w:highlight w:val="none"/>
          <w:shd w:val="clear" w:color="auto" w:fill="auto"/>
          <w:lang w:val="en-US" w:eastAsia="zh-CN"/>
        </w:rPr>
        <w:drawing>
          <wp:inline distT="0" distB="0" distL="114300" distR="114300">
            <wp:extent cx="2538730" cy="2961005"/>
            <wp:effectExtent l="0" t="0" r="13970" b="10795"/>
            <wp:docPr id="9" name="图片 9" descr="IMG_3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3335"/>
                    <pic:cNvPicPr>
                      <a:picLocks noChangeAspect="1"/>
                    </pic:cNvPicPr>
                  </pic:nvPicPr>
                  <pic:blipFill>
                    <a:blip r:embed="rId17"/>
                    <a:stretch>
                      <a:fillRect/>
                    </a:stretch>
                  </pic:blipFill>
                  <pic:spPr>
                    <a:xfrm>
                      <a:off x="0" y="0"/>
                      <a:ext cx="2538730" cy="2961005"/>
                    </a:xfrm>
                    <a:prstGeom prst="rect">
                      <a:avLst/>
                    </a:prstGeom>
                  </pic:spPr>
                </pic:pic>
              </a:graphicData>
            </a:graphic>
          </wp:inline>
        </w:drawing>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3、药袋技术参数要求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（1）药房袋子的材质均采用聚乙烯原料，塑料质地均匀平整，塑料产品有环保认证，符合规定要求。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（2）药房袋子的底色为本色，袋子上文字字体为紫色。</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（3）袋子上的标识图案规格为150mm*170mm/220mm*240mm.</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drawing>
          <wp:inline distT="0" distB="0" distL="114300" distR="114300">
            <wp:extent cx="2287270" cy="2693035"/>
            <wp:effectExtent l="0" t="0" r="17780" b="12065"/>
            <wp:docPr id="13" name="图片 13" descr="IMG_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3329"/>
                    <pic:cNvPicPr>
                      <a:picLocks noChangeAspect="1"/>
                    </pic:cNvPicPr>
                  </pic:nvPicPr>
                  <pic:blipFill>
                    <a:blip r:embed="rId18"/>
                    <a:stretch>
                      <a:fillRect/>
                    </a:stretch>
                  </pic:blipFill>
                  <pic:spPr>
                    <a:xfrm>
                      <a:off x="0" y="0"/>
                      <a:ext cx="2287270" cy="2693035"/>
                    </a:xfrm>
                    <a:prstGeom prst="rect">
                      <a:avLst/>
                    </a:prstGeom>
                  </pic:spPr>
                </pic:pic>
              </a:graphicData>
            </a:graphic>
          </wp:inline>
        </w:drawing>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4、白色垃圾袋技术参数要求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（1）白色垃圾袋的材质均采用聚乙烯原料，塑料质地均匀平整，塑料产品有环保认证，符合规定要求。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（2）袋子的底色为本色，袋子上无需文字和图案。</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（3）袋子的规格符合以上列表要求。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drawing>
          <wp:inline distT="0" distB="0" distL="114300" distR="114300">
            <wp:extent cx="2458720" cy="2435860"/>
            <wp:effectExtent l="0" t="0" r="17780" b="2540"/>
            <wp:docPr id="14" name="图片 14" descr="IMG_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3338"/>
                    <pic:cNvPicPr>
                      <a:picLocks noChangeAspect="1"/>
                    </pic:cNvPicPr>
                  </pic:nvPicPr>
                  <pic:blipFill>
                    <a:blip r:embed="rId19"/>
                    <a:stretch>
                      <a:fillRect/>
                    </a:stretch>
                  </pic:blipFill>
                  <pic:spPr>
                    <a:xfrm>
                      <a:off x="0" y="0"/>
                      <a:ext cx="2458720" cy="2435860"/>
                    </a:xfrm>
                    <a:prstGeom prst="rect">
                      <a:avLst/>
                    </a:prstGeom>
                  </pic:spPr>
                </pic:pic>
              </a:graphicData>
            </a:graphic>
          </wp:inline>
        </w:drawing>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5、黄色医疗垃圾袋技术参数要求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（1）黄色垃圾袋的材质均采用聚乙烯原料，塑料质地均匀平整，塑料产品有环保认证，符合规定要求。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（2）黄色医疗垃圾袋的底色为黄色，袋子上文字字体为黑色。</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（3）袋子的规格符合以上列表要求，袋子上的图案及字样需符合以下图片要求。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 xml:space="preserve"> </w:t>
      </w:r>
      <w:r>
        <w:rPr>
          <w:rFonts w:hint="eastAsia" w:ascii="仿宋" w:hAnsi="仿宋" w:eastAsia="仿宋" w:cs="仿宋"/>
          <w:b w:val="0"/>
          <w:bCs w:val="0"/>
          <w:color w:val="auto"/>
          <w:sz w:val="24"/>
          <w:szCs w:val="24"/>
          <w:highlight w:val="none"/>
          <w:shd w:val="clear" w:color="auto" w:fill="auto"/>
          <w:lang w:val="en-US" w:eastAsia="zh-CN"/>
        </w:rPr>
        <w:drawing>
          <wp:inline distT="0" distB="0" distL="114300" distR="114300">
            <wp:extent cx="2126615" cy="2126615"/>
            <wp:effectExtent l="0" t="0" r="6985" b="6985"/>
            <wp:docPr id="15" name="图片 15" descr="42EB911F81BCC0A33214E11A053052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42EB911F81BCC0A33214E11A0530524F"/>
                    <pic:cNvPicPr>
                      <a:picLocks noChangeAspect="1"/>
                    </pic:cNvPicPr>
                  </pic:nvPicPr>
                  <pic:blipFill>
                    <a:blip r:embed="rId20"/>
                    <a:stretch>
                      <a:fillRect/>
                    </a:stretch>
                  </pic:blipFill>
                  <pic:spPr>
                    <a:xfrm>
                      <a:off x="0" y="0"/>
                      <a:ext cx="2126615" cy="2126615"/>
                    </a:xfrm>
                    <a:prstGeom prst="rect">
                      <a:avLst/>
                    </a:prstGeom>
                  </pic:spPr>
                </pic:pic>
              </a:graphicData>
            </a:graphic>
          </wp:inline>
        </w:drawing>
      </w:r>
      <w:r>
        <w:rPr>
          <w:rFonts w:hint="eastAsia" w:ascii="仿宋" w:hAnsi="仿宋" w:eastAsia="仿宋" w:cs="仿宋"/>
          <w:b w:val="0"/>
          <w:bCs w:val="0"/>
          <w:color w:val="auto"/>
          <w:sz w:val="24"/>
          <w:szCs w:val="24"/>
          <w:highlight w:val="none"/>
          <w:shd w:val="clear" w:color="auto" w:fill="auto"/>
          <w:lang w:val="en-US" w:eastAsia="zh-CN"/>
        </w:rPr>
        <w:drawing>
          <wp:inline distT="0" distB="0" distL="114300" distR="114300">
            <wp:extent cx="1638935" cy="2122170"/>
            <wp:effectExtent l="0" t="0" r="18415" b="11430"/>
            <wp:docPr id="16" name="图片 16" descr="237199C516A9B84D5091FAF6B3920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37199C516A9B84D5091FAF6B3920443"/>
                    <pic:cNvPicPr>
                      <a:picLocks noChangeAspect="1"/>
                    </pic:cNvPicPr>
                  </pic:nvPicPr>
                  <pic:blipFill>
                    <a:blip r:embed="rId21"/>
                    <a:stretch>
                      <a:fillRect/>
                    </a:stretch>
                  </pic:blipFill>
                  <pic:spPr>
                    <a:xfrm>
                      <a:off x="0" y="0"/>
                      <a:ext cx="1638935" cy="2122170"/>
                    </a:xfrm>
                    <a:prstGeom prst="rect">
                      <a:avLst/>
                    </a:prstGeom>
                  </pic:spPr>
                </pic:pic>
              </a:graphicData>
            </a:graphic>
          </wp:inline>
        </w:drawing>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6、橘红色垃圾袋技术参数要求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（1）橘红色垃圾袋的材质均采用聚乙烯原料，塑料质地均匀平整，塑料产品有环保认证，符合规定要求。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（2）橘红色垃圾袋的底色为橘红色，袋子上文字字体为黑色。</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（3）袋子的规格符合以上列表要求，袋子上的图案及字样需符合以下图片要求。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 xml:space="preserve">         </w:t>
      </w:r>
      <w:r>
        <w:rPr>
          <w:rFonts w:hint="eastAsia" w:ascii="仿宋" w:hAnsi="仿宋" w:eastAsia="仿宋" w:cs="仿宋"/>
          <w:b w:val="0"/>
          <w:bCs w:val="0"/>
          <w:color w:val="auto"/>
          <w:sz w:val="24"/>
          <w:szCs w:val="24"/>
          <w:highlight w:val="none"/>
          <w:shd w:val="clear" w:color="auto" w:fill="auto"/>
          <w:lang w:val="en-US" w:eastAsia="zh-CN"/>
        </w:rPr>
        <w:drawing>
          <wp:inline distT="0" distB="0" distL="114300" distR="114300">
            <wp:extent cx="2454275" cy="2454275"/>
            <wp:effectExtent l="0" t="0" r="3175" b="3175"/>
            <wp:docPr id="17" name="图片 17" descr="BC205760E1F8D33AA3C33D6A6D200A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BC205760E1F8D33AA3C33D6A6D200A6E"/>
                    <pic:cNvPicPr>
                      <a:picLocks noChangeAspect="1"/>
                    </pic:cNvPicPr>
                  </pic:nvPicPr>
                  <pic:blipFill>
                    <a:blip r:embed="rId22"/>
                    <a:stretch>
                      <a:fillRect/>
                    </a:stretch>
                  </pic:blipFill>
                  <pic:spPr>
                    <a:xfrm>
                      <a:off x="0" y="0"/>
                      <a:ext cx="2454275" cy="2454275"/>
                    </a:xfrm>
                    <a:prstGeom prst="rect">
                      <a:avLst/>
                    </a:prstGeom>
                  </pic:spPr>
                </pic:pic>
              </a:graphicData>
            </a:graphic>
          </wp:inline>
        </w:drawing>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7、煎药袋技术参数要求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（1）煎药袋采用40g及以上无纺布为原料，质地均匀，有环保认证，符合规定要求。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（2）耐高温，久煮不烂，渗透性好，无异味，抽绳封口设计。</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drawing>
          <wp:inline distT="0" distB="0" distL="114300" distR="114300">
            <wp:extent cx="2041525" cy="3630295"/>
            <wp:effectExtent l="0" t="0" r="15875" b="8255"/>
            <wp:docPr id="18" name="图片 18" descr="c2ba5094b48ef3110ac3ce875935f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2ba5094b48ef3110ac3ce875935f75"/>
                    <pic:cNvPicPr>
                      <a:picLocks noChangeAspect="1"/>
                    </pic:cNvPicPr>
                  </pic:nvPicPr>
                  <pic:blipFill>
                    <a:blip r:embed="rId23"/>
                    <a:stretch>
                      <a:fillRect/>
                    </a:stretch>
                  </pic:blipFill>
                  <pic:spPr>
                    <a:xfrm>
                      <a:off x="0" y="0"/>
                      <a:ext cx="2041525" cy="3630295"/>
                    </a:xfrm>
                    <a:prstGeom prst="rect">
                      <a:avLst/>
                    </a:prstGeom>
                  </pic:spPr>
                </pic:pic>
              </a:graphicData>
            </a:graphic>
          </wp:inline>
        </w:drawing>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8、超市购物袋技术参数要求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（1）超市购物袋的材质均采用聚乙烯原料，塑料质地均匀平整，塑料产品有环保认证，符合规定要求。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（2）超市购物袋的底色为本色，袋子上文字字体为紫色。</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（3）袋子上的标识图案规格为150mm*170mm/220mm*240mm.</w:t>
      </w:r>
    </w:p>
    <w:p>
      <w:pPr>
        <w:pStyle w:val="24"/>
        <w:rPr>
          <w:rFonts w:hint="eastAsia"/>
          <w:lang w:val="en-US" w:eastAsia="zh-CN"/>
        </w:rPr>
      </w:pPr>
      <w:r>
        <w:rPr>
          <w:rFonts w:hint="eastAsia"/>
          <w:lang w:val="en-US" w:eastAsia="zh-CN"/>
        </w:rPr>
        <w:drawing>
          <wp:inline distT="0" distB="0" distL="114300" distR="114300">
            <wp:extent cx="2305050" cy="2284095"/>
            <wp:effectExtent l="0" t="0" r="0" b="1905"/>
            <wp:docPr id="19" name="图片 19" descr="IMG_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MG_3338"/>
                    <pic:cNvPicPr>
                      <a:picLocks noChangeAspect="1"/>
                    </pic:cNvPicPr>
                  </pic:nvPicPr>
                  <pic:blipFill>
                    <a:blip r:embed="rId19"/>
                    <a:stretch>
                      <a:fillRect/>
                    </a:stretch>
                  </pic:blipFill>
                  <pic:spPr>
                    <a:xfrm>
                      <a:off x="0" y="0"/>
                      <a:ext cx="2305050" cy="2284095"/>
                    </a:xfrm>
                    <a:prstGeom prst="rect">
                      <a:avLst/>
                    </a:prstGeom>
                  </pic:spPr>
                </pic:pic>
              </a:graphicData>
            </a:graphic>
          </wp:inline>
        </w:drawing>
      </w:r>
      <w:r>
        <w:drawing>
          <wp:inline distT="0" distB="0" distL="114300" distR="114300">
            <wp:extent cx="2575560" cy="2248535"/>
            <wp:effectExtent l="0" t="0" r="15240" b="1841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24"/>
                    <a:stretch>
                      <a:fillRect/>
                    </a:stretch>
                  </pic:blipFill>
                  <pic:spPr>
                    <a:xfrm>
                      <a:off x="0" y="0"/>
                      <a:ext cx="2575560" cy="2248535"/>
                    </a:xfrm>
                    <a:prstGeom prst="rect">
                      <a:avLst/>
                    </a:prstGeom>
                    <a:noFill/>
                    <a:ln>
                      <a:noFill/>
                    </a:ln>
                  </pic:spPr>
                </pic:pic>
              </a:graphicData>
            </a:graphic>
          </wp:inline>
        </w:drawing>
      </w:r>
    </w:p>
    <w:p>
      <w:pPr>
        <w:pStyle w:val="24"/>
        <w:rPr>
          <w:rFonts w:hint="eastAsia"/>
          <w:lang w:val="en-US" w:eastAsia="zh-CN"/>
        </w:rPr>
      </w:pPr>
    </w:p>
    <w:p>
      <w:pPr>
        <w:pStyle w:val="24"/>
        <w:rPr>
          <w:rFonts w:hint="eastAsia"/>
          <w:lang w:val="en-US" w:eastAsia="zh-CN"/>
        </w:rPr>
      </w:pPr>
    </w:p>
    <w:p>
      <w:pPr>
        <w:spacing w:line="360" w:lineRule="auto"/>
        <w:ind w:firstLine="482" w:firstLineChars="200"/>
        <w:outlineLvl w:val="1"/>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val="en-US" w:eastAsia="zh-CN"/>
        </w:rPr>
        <w:t>★</w:t>
      </w:r>
      <w:r>
        <w:rPr>
          <w:rFonts w:hint="eastAsia" w:ascii="仿宋" w:hAnsi="仿宋" w:eastAsia="仿宋" w:cs="仿宋"/>
          <w:b/>
          <w:bCs/>
          <w:color w:val="auto"/>
          <w:sz w:val="24"/>
          <w:szCs w:val="24"/>
          <w:lang w:eastAsia="zh-CN"/>
        </w:rPr>
        <w:t>四</w:t>
      </w:r>
      <w:r>
        <w:rPr>
          <w:rFonts w:hint="eastAsia" w:ascii="仿宋" w:hAnsi="仿宋" w:eastAsia="仿宋" w:cs="仿宋"/>
          <w:b/>
          <w:bCs/>
          <w:color w:val="auto"/>
          <w:sz w:val="24"/>
          <w:szCs w:val="24"/>
        </w:rPr>
        <w:t>、商务要求</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bookmarkStart w:id="39" w:name="_Toc7836"/>
      <w:r>
        <w:rPr>
          <w:rFonts w:hint="eastAsia" w:ascii="仿宋" w:hAnsi="仿宋" w:eastAsia="仿宋" w:cs="仿宋"/>
          <w:b w:val="0"/>
          <w:bCs w:val="0"/>
          <w:color w:val="auto"/>
          <w:sz w:val="24"/>
          <w:szCs w:val="24"/>
          <w:highlight w:val="none"/>
          <w:shd w:val="clear" w:color="auto" w:fill="auto"/>
          <w:lang w:val="en-US" w:eastAsia="zh-CN"/>
        </w:rPr>
        <w:t>1、合同签订：成交通知书发出之日起30日内签订合同。</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2、供货期限：一年（自合同签订生效之日起计算）。</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3、交货地点：成交供应商根据采购人需求送货至采购人指定地点。</w:t>
      </w:r>
    </w:p>
    <w:p>
      <w:pPr>
        <w:autoSpaceDE w:val="0"/>
        <w:autoSpaceDN w:val="0"/>
        <w:adjustRightInd w:val="0"/>
        <w:snapToGrid w:val="0"/>
        <w:spacing w:line="360" w:lineRule="auto"/>
        <w:ind w:firstLine="480" w:firstLineChars="200"/>
        <w:jc w:val="left"/>
        <w:rPr>
          <w:rFonts w:hint="eastAsia"/>
          <w:lang w:val="en-US" w:eastAsia="zh-CN"/>
        </w:rPr>
      </w:pPr>
      <w:r>
        <w:rPr>
          <w:rFonts w:hint="eastAsia" w:ascii="仿宋" w:hAnsi="仿宋" w:eastAsia="仿宋" w:cs="仿宋"/>
          <w:color w:val="000000" w:themeColor="text1"/>
          <w:kern w:val="2"/>
          <w:sz w:val="24"/>
          <w:szCs w:val="24"/>
          <w:highlight w:val="none"/>
          <w:lang w:val="en-US" w:eastAsia="zh-CN"/>
          <w14:textFill>
            <w14:solidFill>
              <w14:schemeClr w14:val="tx1"/>
            </w14:solidFill>
          </w14:textFill>
        </w:rPr>
        <w:t>4、报价方式：</w:t>
      </w:r>
      <w:r>
        <w:rPr>
          <w:rFonts w:hint="eastAsia" w:ascii="仿宋" w:hAnsi="仿宋" w:eastAsia="仿宋" w:cs="仿宋"/>
          <w:color w:val="000000" w:themeColor="text1"/>
          <w:kern w:val="2"/>
          <w:sz w:val="24"/>
          <w:szCs w:val="24"/>
          <w:highlight w:val="none"/>
          <w:lang w:val="zh-CN" w:eastAsia="zh-CN"/>
          <w14:textFill>
            <w14:solidFill>
              <w14:schemeClr w14:val="tx1"/>
            </w14:solidFill>
          </w14:textFill>
        </w:rPr>
        <w:t>本项目采用下浮比例方式报价。</w:t>
      </w:r>
      <w:r>
        <w:rPr>
          <w:rFonts w:hint="eastAsia" w:ascii="仿宋" w:hAnsi="仿宋" w:eastAsia="仿宋" w:cs="仿宋"/>
          <w:bCs w:val="0"/>
          <w:color w:val="000000" w:themeColor="text1"/>
          <w:kern w:val="2"/>
          <w:sz w:val="24"/>
          <w:highlight w:val="none"/>
          <w14:textFill>
            <w14:solidFill>
              <w14:schemeClr w14:val="tx1"/>
            </w14:solidFill>
          </w14:textFill>
        </w:rPr>
        <w:t>供应商报价应是包括谈判文件规定的全部相应内容的价格。</w:t>
      </w:r>
      <w:r>
        <w:rPr>
          <w:rFonts w:hint="eastAsia" w:ascii="仿宋" w:hAnsi="仿宋" w:eastAsia="仿宋" w:cs="仿宋"/>
          <w:bCs w:val="0"/>
          <w:color w:val="000000" w:themeColor="text1"/>
          <w:kern w:val="2"/>
          <w:sz w:val="24"/>
          <w:highlight w:val="none"/>
          <w:lang w:val="zh-CN" w:eastAsia="zh-CN"/>
          <w14:textFill>
            <w14:solidFill>
              <w14:schemeClr w14:val="tx1"/>
            </w14:solidFill>
          </w14:textFill>
        </w:rPr>
        <w:t>人工、设备、管理费、税费、安装、调试等</w:t>
      </w:r>
      <w:r>
        <w:rPr>
          <w:rFonts w:hint="eastAsia" w:ascii="仿宋" w:hAnsi="仿宋" w:eastAsia="仿宋" w:cs="仿宋"/>
          <w:bCs w:val="0"/>
          <w:color w:val="000000" w:themeColor="text1"/>
          <w:kern w:val="2"/>
          <w:sz w:val="24"/>
          <w:szCs w:val="24"/>
          <w:highlight w:val="none"/>
          <w14:textFill>
            <w14:solidFill>
              <w14:schemeClr w14:val="tx1"/>
            </w14:solidFill>
          </w14:textFill>
        </w:rPr>
        <w:t>等完成本项目所需一切费用，采购人不再另行支付其他费用。</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付款方式：（1）按月实际用量结算，次月收到发票后30日内，支付上月结算货款。（2）付款前，供应商须向采购人出具合法有效完整的发票及凭证资料后进行支付结算，付款方式均采用公对公的银行转账，采购人接受转账的开户信息以合同载明的为准。如因供应商未按照要求提供合法有效的发票导致逾期付款的，不视为采购人违约，采购人不承担任何责任。</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lang w:val="zh-CN"/>
        </w:rPr>
        <w:t>质保期：质保期1年</w:t>
      </w:r>
      <w:r>
        <w:rPr>
          <w:rFonts w:hint="eastAsia" w:ascii="仿宋" w:hAnsi="仿宋" w:eastAsia="仿宋" w:cs="仿宋"/>
          <w:color w:val="auto"/>
          <w:sz w:val="24"/>
          <w:szCs w:val="24"/>
          <w:lang w:val="zh-CN" w:eastAsia="zh-CN"/>
        </w:rPr>
        <w:t>。</w:t>
      </w:r>
    </w:p>
    <w:p>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lang w:val="en-US" w:eastAsia="zh-CN"/>
        </w:rPr>
      </w:pPr>
      <w:r>
        <w:rPr>
          <w:rFonts w:hint="eastAsia" w:ascii="仿宋" w:hAnsi="仿宋" w:eastAsia="仿宋" w:cs="仿宋"/>
          <w:b w:val="0"/>
          <w:bCs w:val="0"/>
          <w:color w:val="auto"/>
          <w:sz w:val="24"/>
          <w:szCs w:val="24"/>
          <w:highlight w:val="none"/>
          <w:shd w:val="clear" w:color="auto" w:fill="auto"/>
          <w:lang w:val="en-US" w:eastAsia="zh-CN"/>
        </w:rPr>
        <w:t>7、质量要求：①成交供应商须提供全新的货物，表面无划伤、无碰撞痕迹。②货物必须符合或优于现行国家标准，以及本项目谈判文件及技术协议的质量要求和技术指标与出厂标准。③货物制造质量出现问题，成交供应商应负责三包(包修、包换、包退)，费用由成交供应商负担。</w:t>
      </w:r>
    </w:p>
    <w:p>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b w:val="0"/>
          <w:bCs w:val="0"/>
          <w:color w:val="auto"/>
          <w:sz w:val="24"/>
          <w:szCs w:val="24"/>
          <w:highlight w:val="none"/>
          <w:shd w:val="clear" w:color="auto" w:fill="auto"/>
          <w:lang w:val="en-US" w:eastAsia="zh-CN"/>
        </w:rPr>
        <w:t>8、报价要求：</w:t>
      </w:r>
      <w:r>
        <w:rPr>
          <w:rFonts w:hint="eastAsia" w:ascii="仿宋" w:hAnsi="仿宋" w:eastAsia="仿宋" w:cs="仿宋"/>
          <w:b w:val="0"/>
          <w:bCs w:val="0"/>
          <w:color w:val="auto"/>
          <w:sz w:val="24"/>
          <w:szCs w:val="24"/>
          <w:highlight w:val="none"/>
          <w:shd w:val="clear" w:color="auto" w:fill="auto"/>
          <w:lang w:val="zh-CN" w:eastAsia="zh-CN"/>
        </w:rPr>
        <w:t>本次报价应包括人工、设备、管理费、税费、安装、调试等完成本项目所需一切费用。</w:t>
      </w:r>
      <w:r>
        <w:rPr>
          <w:rFonts w:hint="eastAsia" w:ascii="仿宋" w:hAnsi="仿宋" w:eastAsia="仿宋" w:cs="仿宋"/>
          <w:b w:val="0"/>
          <w:bCs w:val="0"/>
          <w:color w:val="auto"/>
          <w:sz w:val="24"/>
          <w:szCs w:val="24"/>
          <w:highlight w:val="none"/>
          <w:shd w:val="clear" w:color="auto" w:fill="auto"/>
          <w:lang w:val="en-US" w:eastAsia="zh-CN"/>
        </w:rPr>
        <w:t>现场报价的单价</w:t>
      </w:r>
      <w:r>
        <w:rPr>
          <w:rFonts w:hint="eastAsia" w:ascii="仿宋" w:hAnsi="仿宋" w:eastAsia="仿宋" w:cs="仿宋"/>
          <w:color w:val="auto"/>
          <w:sz w:val="24"/>
          <w:highlight w:val="none"/>
          <w:lang w:val="en-US" w:eastAsia="zh-CN"/>
        </w:rPr>
        <w:t>为每份报价（1份为1000个袋子），每份单价按照同比例下浮报价，保留小数点后两位，报价总价不保留小数。未按以上要求报价无效。</w:t>
      </w:r>
    </w:p>
    <w:p>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val="0"/>
          <w:bCs w:val="0"/>
          <w:color w:val="auto"/>
          <w:sz w:val="24"/>
          <w:szCs w:val="24"/>
          <w:highlight w:val="none"/>
          <w:shd w:val="clear" w:color="auto" w:fill="auto"/>
          <w:lang w:val="en-US" w:eastAsia="zh-CN"/>
        </w:rPr>
        <w:t>9、验收标准：</w:t>
      </w:r>
      <w:r>
        <w:rPr>
          <w:rFonts w:hint="eastAsia" w:ascii="仿宋" w:eastAsia="仿宋" w:cs="仿宋"/>
          <w:bCs/>
          <w:color w:val="auto"/>
          <w:sz w:val="24"/>
          <w:highlight w:val="none"/>
        </w:rPr>
        <w:t>本项目采购人将严格按照采购</w:t>
      </w:r>
      <w:r>
        <w:rPr>
          <w:rFonts w:hint="eastAsia" w:ascii="仿宋" w:eastAsia="仿宋" w:cs="仿宋"/>
          <w:bCs/>
          <w:color w:val="auto"/>
          <w:sz w:val="24"/>
          <w:highlight w:val="none"/>
          <w:lang w:eastAsia="zh-CN"/>
        </w:rPr>
        <w:t>文件、</w:t>
      </w:r>
      <w:r>
        <w:rPr>
          <w:rFonts w:hint="eastAsia" w:ascii="仿宋" w:eastAsia="仿宋" w:cs="仿宋"/>
          <w:bCs/>
          <w:color w:val="auto"/>
          <w:sz w:val="24"/>
          <w:lang w:eastAsia="zh-CN"/>
        </w:rPr>
        <w:t>成交供应商响应文件、采购合同约定</w:t>
      </w:r>
      <w:r>
        <w:rPr>
          <w:rFonts w:hint="eastAsia" w:ascii="仿宋" w:eastAsia="仿宋" w:cs="仿宋"/>
          <w:bCs/>
          <w:color w:val="auto"/>
          <w:sz w:val="24"/>
        </w:rPr>
        <w:t>内容及国家行业主管部门规定的标准、方法和内容进行验收。</w:t>
      </w:r>
    </w:p>
    <w:bookmarkEnd w:id="36"/>
    <w:bookmarkEnd w:id="37"/>
    <w:bookmarkEnd w:id="38"/>
    <w:bookmarkEnd w:id="39"/>
    <w:p>
      <w:pPr>
        <w:keepNext w:val="0"/>
        <w:spacing w:line="360" w:lineRule="auto"/>
        <w:ind w:firstLine="474" w:firstLineChars="200"/>
        <w:jc w:val="left"/>
        <w:outlineLvl w:val="9"/>
        <w:rPr>
          <w:rFonts w:hint="eastAsia" w:ascii="仿宋" w:hAnsi="仿宋" w:eastAsia="仿宋" w:cs="仿宋"/>
          <w:b/>
          <w:bCs/>
          <w:color w:val="000000"/>
          <w:spacing w:val="-2"/>
          <w:sz w:val="24"/>
          <w:szCs w:val="24"/>
          <w:lang w:eastAsia="zh-CN"/>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bookmarkStart w:id="40" w:name="_Toc21698"/>
      <w:bookmarkStart w:id="41" w:name="_Toc25073"/>
      <w:bookmarkStart w:id="42" w:name="_Toc4978"/>
      <w:bookmarkStart w:id="43" w:name="_Toc6413"/>
      <w:r>
        <w:rPr>
          <w:rFonts w:hint="eastAsia" w:ascii="仿宋" w:hAnsi="仿宋" w:eastAsia="仿宋" w:cs="仿宋"/>
          <w:b/>
          <w:bCs/>
          <w:color w:val="000000"/>
          <w:spacing w:val="-2"/>
          <w:sz w:val="24"/>
          <w:szCs w:val="24"/>
        </w:rPr>
        <w:t>说明：</w:t>
      </w:r>
      <w:r>
        <w:rPr>
          <w:rFonts w:hint="eastAsia" w:ascii="仿宋" w:hAnsi="仿宋" w:eastAsia="仿宋" w:cs="仿宋"/>
          <w:b/>
          <w:bCs w:val="0"/>
          <w:color w:val="000000"/>
          <w:spacing w:val="-2"/>
          <w:sz w:val="24"/>
          <w:szCs w:val="24"/>
        </w:rPr>
        <w:t>本章中</w:t>
      </w:r>
      <w:r>
        <w:rPr>
          <w:rFonts w:hint="eastAsia" w:ascii="仿宋" w:hAnsi="仿宋" w:eastAsia="仿宋" w:cs="仿宋"/>
          <w:b/>
          <w:bCs w:val="0"/>
          <w:color w:val="000000"/>
          <w:spacing w:val="-2"/>
          <w:sz w:val="24"/>
          <w:szCs w:val="24"/>
          <w:lang w:eastAsia="zh-CN"/>
        </w:rPr>
        <w:t>以</w:t>
      </w:r>
      <w:r>
        <w:rPr>
          <w:rFonts w:hint="eastAsia" w:ascii="仿宋" w:hAnsi="仿宋" w:eastAsia="仿宋" w:cs="仿宋"/>
          <w:b/>
          <w:bCs w:val="0"/>
          <w:color w:val="000000"/>
          <w:spacing w:val="-2"/>
          <w:sz w:val="24"/>
          <w:szCs w:val="24"/>
        </w:rPr>
        <w:t>“★”</w:t>
      </w:r>
      <w:r>
        <w:rPr>
          <w:rFonts w:hint="eastAsia" w:ascii="仿宋" w:hAnsi="仿宋" w:eastAsia="仿宋" w:cs="仿宋"/>
          <w:b/>
          <w:bCs w:val="0"/>
          <w:color w:val="000000"/>
          <w:spacing w:val="-2"/>
          <w:sz w:val="24"/>
          <w:szCs w:val="24"/>
          <w:lang w:eastAsia="zh-CN"/>
        </w:rPr>
        <w:t>标示</w:t>
      </w:r>
      <w:r>
        <w:rPr>
          <w:rFonts w:hint="eastAsia" w:ascii="仿宋" w:hAnsi="仿宋" w:eastAsia="仿宋" w:cs="仿宋"/>
          <w:b/>
          <w:bCs w:val="0"/>
          <w:color w:val="000000"/>
          <w:spacing w:val="-2"/>
          <w:sz w:val="24"/>
          <w:szCs w:val="24"/>
        </w:rPr>
        <w:t>的</w:t>
      </w:r>
      <w:r>
        <w:rPr>
          <w:rFonts w:hint="eastAsia" w:ascii="仿宋" w:hAnsi="仿宋" w:eastAsia="仿宋" w:cs="仿宋"/>
          <w:b/>
          <w:bCs w:val="0"/>
          <w:color w:val="000000"/>
          <w:spacing w:val="-2"/>
          <w:sz w:val="24"/>
          <w:szCs w:val="24"/>
          <w:lang w:eastAsia="zh-CN"/>
        </w:rPr>
        <w:t>内容</w:t>
      </w:r>
      <w:r>
        <w:rPr>
          <w:rFonts w:hint="eastAsia" w:ascii="仿宋" w:hAnsi="仿宋" w:eastAsia="仿宋" w:cs="仿宋"/>
          <w:b/>
          <w:bCs w:val="0"/>
          <w:color w:val="000000"/>
          <w:spacing w:val="-2"/>
          <w:sz w:val="24"/>
          <w:szCs w:val="24"/>
        </w:rPr>
        <w:t>为本次采购项目的实质性要求，</w:t>
      </w:r>
      <w:r>
        <w:rPr>
          <w:rFonts w:hint="eastAsia" w:ascii="仿宋" w:hAnsi="仿宋" w:eastAsia="仿宋" w:cs="仿宋"/>
          <w:b/>
          <w:bCs/>
          <w:color w:val="000000"/>
          <w:spacing w:val="-2"/>
          <w:sz w:val="24"/>
          <w:szCs w:val="24"/>
        </w:rPr>
        <w:t>供应商</w:t>
      </w:r>
      <w:r>
        <w:rPr>
          <w:rFonts w:hint="eastAsia" w:ascii="仿宋" w:hAnsi="仿宋" w:eastAsia="仿宋" w:cs="仿宋"/>
          <w:b/>
          <w:bCs/>
          <w:color w:val="000000"/>
          <w:spacing w:val="-2"/>
          <w:sz w:val="24"/>
          <w:szCs w:val="24"/>
          <w:lang w:eastAsia="zh-CN"/>
        </w:rPr>
        <w:t>如不</w:t>
      </w:r>
      <w:r>
        <w:rPr>
          <w:rFonts w:hint="eastAsia" w:ascii="仿宋" w:hAnsi="仿宋" w:eastAsia="仿宋" w:cs="仿宋"/>
          <w:b/>
          <w:bCs/>
          <w:color w:val="000000"/>
          <w:spacing w:val="-2"/>
          <w:sz w:val="24"/>
          <w:szCs w:val="24"/>
        </w:rPr>
        <w:t>满足将作无效</w:t>
      </w:r>
      <w:r>
        <w:rPr>
          <w:rFonts w:hint="eastAsia" w:ascii="仿宋" w:hAnsi="仿宋" w:eastAsia="仿宋" w:cs="仿宋"/>
          <w:b/>
          <w:bCs/>
          <w:color w:val="000000"/>
          <w:spacing w:val="-2"/>
          <w:sz w:val="24"/>
          <w:szCs w:val="24"/>
          <w:lang w:eastAsia="zh-CN"/>
        </w:rPr>
        <w:t>响应</w:t>
      </w:r>
      <w:r>
        <w:rPr>
          <w:rFonts w:hint="eastAsia" w:ascii="仿宋" w:hAnsi="仿宋" w:eastAsia="仿宋" w:cs="仿宋"/>
          <w:b/>
          <w:bCs/>
          <w:color w:val="000000"/>
          <w:spacing w:val="-2"/>
          <w:sz w:val="24"/>
          <w:szCs w:val="24"/>
        </w:rPr>
        <w:t>处理</w:t>
      </w:r>
      <w:r>
        <w:rPr>
          <w:rFonts w:hint="eastAsia" w:ascii="仿宋" w:hAnsi="仿宋" w:eastAsia="仿宋" w:cs="仿宋"/>
          <w:b/>
          <w:bCs/>
          <w:color w:val="000000"/>
          <w:spacing w:val="-2"/>
          <w:sz w:val="24"/>
          <w:szCs w:val="24"/>
          <w:lang w:eastAsia="zh-CN"/>
        </w:rPr>
        <w:t>。</w:t>
      </w:r>
    </w:p>
    <w:p>
      <w:pPr>
        <w:pStyle w:val="4"/>
        <w:keepNext/>
        <w:keepLines w:val="0"/>
        <w:pageBreakBefore w:val="0"/>
        <w:widowControl w:val="0"/>
        <w:kinsoku/>
        <w:wordWrap/>
        <w:overflowPunct/>
        <w:topLinePunct w:val="0"/>
        <w:autoSpaceDE/>
        <w:autoSpaceDN/>
        <w:bidi w:val="0"/>
        <w:adjustRightInd/>
        <w:snapToGrid/>
        <w:spacing w:before="157" w:beforeLines="50" w:beforeAutospacing="0" w:after="313" w:afterLines="100" w:line="360" w:lineRule="auto"/>
        <w:jc w:val="left"/>
        <w:textAlignment w:val="auto"/>
        <w:outlineLvl w:val="0"/>
        <w:rPr>
          <w:rFonts w:ascii="仿宋" w:hAnsi="仿宋" w:eastAsia="仿宋" w:cs="仿宋"/>
          <w:b/>
          <w:bCs/>
          <w:color w:val="000000" w:themeColor="text1"/>
          <w:kern w:val="2"/>
          <w:sz w:val="36"/>
          <w:szCs w:val="36"/>
          <w14:textFill>
            <w14:solidFill>
              <w14:schemeClr w14:val="tx1"/>
            </w14:solidFill>
          </w14:textFill>
        </w:rPr>
      </w:pPr>
      <w:bookmarkStart w:id="44" w:name="_Toc24419"/>
      <w:bookmarkStart w:id="45" w:name="_Toc3903"/>
      <w:r>
        <w:rPr>
          <w:rFonts w:hint="eastAsia" w:ascii="仿宋" w:hAnsi="仿宋" w:eastAsia="仿宋" w:cs="仿宋"/>
          <w:b/>
          <w:bCs/>
          <w:color w:val="auto"/>
          <w:kern w:val="2"/>
          <w:sz w:val="36"/>
          <w:szCs w:val="36"/>
        </w:rPr>
        <w:t>第</w:t>
      </w:r>
      <w:r>
        <w:rPr>
          <w:rFonts w:hint="eastAsia" w:ascii="仿宋" w:hAnsi="仿宋" w:eastAsia="仿宋" w:cs="仿宋"/>
          <w:b/>
          <w:bCs/>
          <w:color w:val="auto"/>
          <w:kern w:val="2"/>
          <w:sz w:val="36"/>
          <w:szCs w:val="36"/>
          <w:lang w:eastAsia="zh-CN"/>
        </w:rPr>
        <w:t>六</w:t>
      </w:r>
      <w:r>
        <w:rPr>
          <w:rFonts w:hint="eastAsia" w:ascii="仿宋" w:hAnsi="仿宋" w:eastAsia="仿宋" w:cs="仿宋"/>
          <w:b/>
          <w:bCs/>
          <w:color w:val="auto"/>
          <w:kern w:val="2"/>
          <w:sz w:val="36"/>
          <w:szCs w:val="36"/>
        </w:rPr>
        <w:t>章 谈判内容、谈</w:t>
      </w:r>
      <w:r>
        <w:rPr>
          <w:rFonts w:hint="eastAsia" w:ascii="仿宋" w:hAnsi="仿宋" w:eastAsia="仿宋" w:cs="仿宋"/>
          <w:b/>
          <w:bCs/>
          <w:color w:val="000000" w:themeColor="text1"/>
          <w:kern w:val="2"/>
          <w:sz w:val="36"/>
          <w:szCs w:val="36"/>
          <w14:textFill>
            <w14:solidFill>
              <w14:schemeClr w14:val="tx1"/>
            </w14:solidFill>
          </w14:textFill>
        </w:rPr>
        <w:t>判过程中可能实质性变动的内容</w:t>
      </w:r>
      <w:bookmarkEnd w:id="40"/>
      <w:bookmarkEnd w:id="41"/>
      <w:bookmarkEnd w:id="42"/>
      <w:bookmarkEnd w:id="43"/>
      <w:bookmarkEnd w:id="44"/>
      <w:bookmarkEnd w:id="45"/>
    </w:p>
    <w:p>
      <w:pPr>
        <w:widowControl/>
        <w:spacing w:line="360" w:lineRule="auto"/>
        <w:ind w:firstLine="480" w:firstLineChars="2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针对第五章、第</w:t>
      </w:r>
      <w:r>
        <w:rPr>
          <w:rFonts w:hint="eastAsia" w:ascii="仿宋" w:hAnsi="仿宋" w:eastAsia="仿宋" w:cs="仿宋"/>
          <w:color w:val="000000" w:themeColor="text1"/>
          <w:sz w:val="24"/>
          <w:lang w:eastAsia="zh-CN"/>
          <w14:textFill>
            <w14:solidFill>
              <w14:schemeClr w14:val="tx1"/>
            </w14:solidFill>
          </w14:textFill>
        </w:rPr>
        <w:t>九</w:t>
      </w:r>
      <w:r>
        <w:rPr>
          <w:rFonts w:hint="eastAsia" w:ascii="仿宋" w:hAnsi="仿宋" w:eastAsia="仿宋" w:cs="仿宋"/>
          <w:color w:val="000000" w:themeColor="text1"/>
          <w:sz w:val="24"/>
          <w14:textFill>
            <w14:solidFill>
              <w14:schemeClr w14:val="tx1"/>
            </w14:solidFill>
          </w14:textFill>
        </w:rPr>
        <w:t>章所包含的技术、服务要求以及合同草案条款，在谈判过程中，评审小组在获得采购人代表确认的前提下，可以根据谈判情况实质性变动相关内容。评审小组对竞争性谈判文件作出的实质性变动是竞争性谈判文件的有效组成部分，评审小组会及时以书面形式通知所有参加谈判的供应商。</w:t>
      </w:r>
    </w:p>
    <w:p>
      <w:pPr>
        <w:widowControl/>
        <w:spacing w:line="360" w:lineRule="auto"/>
        <w:jc w:val="left"/>
        <w:rPr>
          <w:rFonts w:ascii="仿宋" w:hAnsi="仿宋" w:eastAsia="仿宋" w:cs="仿宋"/>
          <w:color w:val="000000" w:themeColor="text1"/>
          <w:sz w:val="24"/>
          <w14:textFill>
            <w14:solidFill>
              <w14:schemeClr w14:val="tx1"/>
            </w14:solidFill>
          </w14:textFill>
        </w:rPr>
      </w:pPr>
    </w:p>
    <w:p>
      <w:pPr>
        <w:pStyle w:val="23"/>
        <w:spacing w:before="100" w:beforeAutospacing="1" w:after="50" w:line="360" w:lineRule="auto"/>
        <w:jc w:val="center"/>
        <w:rPr>
          <w:rFonts w:ascii="仿宋" w:hAnsi="仿宋" w:eastAsia="仿宋" w:cs="仿宋"/>
          <w:b/>
          <w:bCs/>
          <w:color w:val="000000" w:themeColor="text1"/>
          <w:kern w:val="2"/>
          <w:sz w:val="32"/>
          <w:szCs w:val="32"/>
          <w14:textFill>
            <w14:solidFill>
              <w14:schemeClr w14:val="tx1"/>
            </w14:solidFill>
          </w14:textFill>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p>
    <w:p>
      <w:pPr>
        <w:pStyle w:val="23"/>
        <w:keepNext w:val="0"/>
        <w:keepLines w:val="0"/>
        <w:pageBreakBefore w:val="0"/>
        <w:widowControl/>
        <w:kinsoku/>
        <w:wordWrap/>
        <w:overflowPunct/>
        <w:topLinePunct w:val="0"/>
        <w:autoSpaceDE/>
        <w:autoSpaceDN/>
        <w:bidi w:val="0"/>
        <w:adjustRightInd/>
        <w:snapToGrid/>
        <w:spacing w:before="0" w:beforeAutospacing="0" w:after="20" w:line="360" w:lineRule="auto"/>
        <w:ind w:firstLine="0" w:firstLineChars="0"/>
        <w:jc w:val="center"/>
        <w:textAlignment w:val="auto"/>
        <w:outlineLvl w:val="0"/>
        <w:rPr>
          <w:rFonts w:ascii="仿宋" w:hAnsi="仿宋" w:eastAsia="仿宋" w:cs="仿宋"/>
          <w:b/>
          <w:bCs/>
          <w:color w:val="auto"/>
          <w:kern w:val="2"/>
          <w:sz w:val="36"/>
          <w:szCs w:val="36"/>
        </w:rPr>
      </w:pPr>
      <w:bookmarkStart w:id="46" w:name="_Toc7612"/>
      <w:bookmarkStart w:id="47" w:name="_Toc2502"/>
      <w:bookmarkStart w:id="48" w:name="_Toc27659"/>
      <w:bookmarkStart w:id="49" w:name="_Toc20997"/>
      <w:bookmarkStart w:id="50" w:name="_Toc24582"/>
      <w:bookmarkStart w:id="51" w:name="_Toc4706"/>
      <w:r>
        <w:rPr>
          <w:rFonts w:hint="eastAsia" w:ascii="仿宋" w:hAnsi="仿宋" w:eastAsia="仿宋" w:cs="仿宋"/>
          <w:b/>
          <w:bCs/>
          <w:color w:val="auto"/>
          <w:kern w:val="2"/>
          <w:sz w:val="36"/>
          <w:szCs w:val="36"/>
        </w:rPr>
        <w:t>第</w:t>
      </w:r>
      <w:r>
        <w:rPr>
          <w:rFonts w:hint="eastAsia" w:ascii="仿宋" w:hAnsi="仿宋" w:eastAsia="仿宋" w:cs="仿宋"/>
          <w:b/>
          <w:bCs/>
          <w:color w:val="auto"/>
          <w:kern w:val="2"/>
          <w:sz w:val="36"/>
          <w:szCs w:val="36"/>
          <w:lang w:eastAsia="zh-CN"/>
        </w:rPr>
        <w:t>七</w:t>
      </w:r>
      <w:r>
        <w:rPr>
          <w:rFonts w:hint="eastAsia" w:ascii="仿宋" w:hAnsi="仿宋" w:eastAsia="仿宋" w:cs="仿宋"/>
          <w:b/>
          <w:bCs/>
          <w:color w:val="auto"/>
          <w:kern w:val="2"/>
          <w:sz w:val="36"/>
          <w:szCs w:val="36"/>
        </w:rPr>
        <w:t>章</w:t>
      </w:r>
      <w:r>
        <w:rPr>
          <w:rFonts w:hint="eastAsia" w:ascii="仿宋" w:hAnsi="仿宋" w:eastAsia="仿宋" w:cs="仿宋"/>
          <w:b/>
          <w:bCs/>
          <w:color w:val="auto"/>
          <w:kern w:val="2"/>
          <w:sz w:val="36"/>
          <w:szCs w:val="36"/>
          <w:lang w:val="en-US" w:eastAsia="zh-CN"/>
        </w:rPr>
        <w:t xml:space="preserve"> </w:t>
      </w:r>
      <w:r>
        <w:rPr>
          <w:rFonts w:hint="eastAsia" w:ascii="仿宋" w:hAnsi="仿宋" w:eastAsia="仿宋" w:cs="仿宋"/>
          <w:b/>
          <w:bCs/>
          <w:color w:val="auto"/>
          <w:kern w:val="2"/>
          <w:sz w:val="36"/>
          <w:szCs w:val="36"/>
        </w:rPr>
        <w:t>响应文件主要格式要求</w:t>
      </w:r>
      <w:bookmarkEnd w:id="46"/>
      <w:bookmarkEnd w:id="47"/>
      <w:bookmarkEnd w:id="48"/>
      <w:bookmarkEnd w:id="49"/>
      <w:bookmarkEnd w:id="50"/>
      <w:bookmarkEnd w:id="51"/>
    </w:p>
    <w:p>
      <w:pPr>
        <w:tabs>
          <w:tab w:val="left" w:pos="426"/>
          <w:tab w:val="left" w:pos="851"/>
        </w:tabs>
        <w:spacing w:line="360" w:lineRule="auto"/>
        <w:ind w:firstLine="504" w:firstLineChars="200"/>
        <w:rPr>
          <w:rFonts w:hint="eastAsia" w:ascii="仿宋" w:hAnsi="仿宋" w:eastAsia="仿宋" w:cs="仿宋"/>
          <w:color w:val="auto"/>
          <w:spacing w:val="6"/>
          <w:sz w:val="24"/>
        </w:rPr>
      </w:pPr>
    </w:p>
    <w:p>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rPr>
      </w:pPr>
      <w:bookmarkStart w:id="52" w:name="_Toc13336"/>
      <w:bookmarkStart w:id="53" w:name="_Toc21231"/>
      <w:bookmarkStart w:id="54" w:name="_Toc17149"/>
      <w:bookmarkStart w:id="55" w:name="_Toc26560"/>
      <w:bookmarkStart w:id="56" w:name="_Toc22320"/>
      <w:bookmarkStart w:id="57" w:name="_Toc16494"/>
      <w:bookmarkStart w:id="58" w:name="_Toc26124"/>
      <w:r>
        <w:rPr>
          <w:rFonts w:hint="eastAsia" w:ascii="仿宋" w:hAnsi="仿宋" w:eastAsia="仿宋" w:cs="仿宋"/>
          <w:color w:val="000000"/>
          <w:spacing w:val="6"/>
          <w:sz w:val="24"/>
          <w:highlight w:val="none"/>
          <w:lang w:eastAsia="zh-CN"/>
        </w:rPr>
        <w:t>一、</w:t>
      </w:r>
      <w:r>
        <w:rPr>
          <w:rFonts w:hint="eastAsia" w:ascii="仿宋" w:hAnsi="仿宋" w:eastAsia="仿宋" w:cs="仿宋"/>
          <w:color w:val="000000"/>
          <w:spacing w:val="6"/>
          <w:sz w:val="24"/>
          <w:highlight w:val="none"/>
        </w:rPr>
        <w:t>本章所</w:t>
      </w:r>
      <w:r>
        <w:rPr>
          <w:rFonts w:hint="eastAsia" w:ascii="仿宋" w:hAnsi="仿宋" w:eastAsia="仿宋" w:cs="仿宋"/>
          <w:color w:val="000000"/>
          <w:spacing w:val="6"/>
          <w:sz w:val="24"/>
          <w:highlight w:val="none"/>
          <w:lang w:eastAsia="zh-CN"/>
        </w:rPr>
        <w:t>列示的响应</w:t>
      </w:r>
      <w:r>
        <w:rPr>
          <w:rFonts w:hint="eastAsia" w:ascii="仿宋" w:hAnsi="仿宋" w:eastAsia="仿宋" w:cs="仿宋"/>
          <w:color w:val="000000"/>
          <w:spacing w:val="6"/>
          <w:sz w:val="24"/>
          <w:highlight w:val="none"/>
        </w:rPr>
        <w:t>文件格式</w:t>
      </w:r>
      <w:r>
        <w:rPr>
          <w:rFonts w:hint="eastAsia" w:ascii="仿宋" w:hAnsi="仿宋" w:eastAsia="仿宋" w:cs="仿宋"/>
          <w:color w:val="000000"/>
          <w:spacing w:val="6"/>
          <w:sz w:val="24"/>
          <w:highlight w:val="none"/>
          <w:lang w:eastAsia="zh-CN"/>
        </w:rPr>
        <w:t>由采购代理机构依规制订，并具有解释权。</w:t>
      </w:r>
    </w:p>
    <w:p>
      <w:pPr>
        <w:pStyle w:val="12"/>
        <w:numPr>
          <w:ilvl w:val="0"/>
          <w:numId w:val="0"/>
        </w:numPr>
        <w:spacing w:line="360" w:lineRule="auto"/>
        <w:ind w:firstLine="504" w:firstLineChars="200"/>
        <w:rPr>
          <w:rFonts w:hint="eastAsia" w:ascii="仿宋" w:hAnsi="仿宋" w:eastAsia="仿宋" w:cs="仿宋"/>
          <w:color w:val="000000"/>
          <w:spacing w:val="6"/>
          <w:sz w:val="24"/>
          <w:highlight w:val="none"/>
          <w:lang w:val="en-US" w:eastAsia="zh-CN"/>
        </w:rPr>
      </w:pPr>
      <w:r>
        <w:rPr>
          <w:rFonts w:hint="eastAsia" w:ascii="仿宋" w:hAnsi="仿宋" w:eastAsia="仿宋" w:cs="仿宋"/>
          <w:color w:val="000000"/>
          <w:spacing w:val="6"/>
          <w:sz w:val="24"/>
          <w:highlight w:val="none"/>
          <w:lang w:val="en-US" w:eastAsia="zh-CN"/>
        </w:rPr>
        <w:t>1、响应文件格式中以“括号”方式标注“实质性要求”的，是指供应商不能擅自对此项格式文件内容作实质性更改，否则将会导致其响应无效。</w:t>
      </w:r>
    </w:p>
    <w:p>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rPr>
      </w:pPr>
      <w:r>
        <w:rPr>
          <w:rFonts w:hint="eastAsia" w:ascii="仿宋" w:hAnsi="仿宋" w:eastAsia="仿宋" w:cs="仿宋"/>
          <w:color w:val="000000"/>
          <w:spacing w:val="6"/>
          <w:sz w:val="24"/>
          <w:highlight w:val="none"/>
          <w:lang w:val="en-US" w:eastAsia="zh-CN"/>
        </w:rPr>
        <w:t>2、</w:t>
      </w:r>
      <w:r>
        <w:rPr>
          <w:rFonts w:hint="eastAsia" w:ascii="仿宋" w:hAnsi="仿宋" w:eastAsia="仿宋" w:cs="仿宋"/>
          <w:color w:val="000000"/>
          <w:spacing w:val="6"/>
          <w:sz w:val="24"/>
          <w:highlight w:val="none"/>
          <w:lang w:eastAsia="zh-CN"/>
        </w:rPr>
        <w:t>供应商响应</w:t>
      </w:r>
      <w:r>
        <w:rPr>
          <w:rFonts w:hint="eastAsia" w:ascii="仿宋" w:hAnsi="仿宋" w:eastAsia="仿宋" w:cs="仿宋"/>
          <w:color w:val="000000"/>
          <w:spacing w:val="6"/>
          <w:sz w:val="24"/>
          <w:highlight w:val="none"/>
        </w:rPr>
        <w:t>文件相关资料和本章所制格式不一致的，需涵盖所有要求内容，未按要求</w:t>
      </w:r>
      <w:r>
        <w:rPr>
          <w:rFonts w:hint="eastAsia" w:ascii="仿宋" w:hAnsi="仿宋" w:eastAsia="仿宋" w:cs="仿宋"/>
          <w:color w:val="000000"/>
          <w:spacing w:val="6"/>
          <w:sz w:val="24"/>
          <w:highlight w:val="none"/>
          <w:lang w:eastAsia="zh-CN"/>
        </w:rPr>
        <w:t>正确填写、</w:t>
      </w:r>
      <w:r>
        <w:rPr>
          <w:rFonts w:hint="eastAsia" w:ascii="仿宋" w:hAnsi="仿宋" w:eastAsia="仿宋" w:cs="仿宋"/>
          <w:color w:val="000000"/>
          <w:spacing w:val="6"/>
          <w:sz w:val="24"/>
          <w:highlight w:val="none"/>
        </w:rPr>
        <w:t>提供导致</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文件被认定为无效</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w:t>
      </w:r>
      <w:r>
        <w:rPr>
          <w:rFonts w:hint="eastAsia" w:ascii="仿宋" w:hAnsi="仿宋" w:eastAsia="仿宋" w:cs="仿宋"/>
          <w:color w:val="000000"/>
          <w:spacing w:val="6"/>
          <w:sz w:val="24"/>
          <w:highlight w:val="none"/>
          <w:lang w:eastAsia="zh-CN"/>
        </w:rPr>
        <w:t>的</w:t>
      </w:r>
      <w:r>
        <w:rPr>
          <w:rFonts w:hint="eastAsia" w:ascii="仿宋" w:hAnsi="仿宋" w:eastAsia="仿宋" w:cs="仿宋"/>
          <w:color w:val="000000"/>
          <w:spacing w:val="6"/>
          <w:sz w:val="24"/>
          <w:highlight w:val="none"/>
        </w:rPr>
        <w:t>，后果由供应商自行承担。</w:t>
      </w:r>
    </w:p>
    <w:p>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lang w:eastAsia="zh-CN"/>
        </w:rPr>
      </w:pPr>
      <w:r>
        <w:rPr>
          <w:rFonts w:hint="eastAsia" w:ascii="仿宋" w:hAnsi="仿宋" w:eastAsia="仿宋" w:cs="仿宋"/>
          <w:color w:val="000000"/>
          <w:spacing w:val="6"/>
          <w:sz w:val="24"/>
          <w:highlight w:val="none"/>
        </w:rPr>
        <w:t>二、本章所制</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文件格式有关表格中的备注栏，由</w:t>
      </w:r>
      <w:r>
        <w:rPr>
          <w:rFonts w:hint="eastAsia" w:ascii="仿宋" w:hAnsi="仿宋" w:eastAsia="仿宋" w:cs="仿宋"/>
          <w:color w:val="000000"/>
          <w:spacing w:val="6"/>
          <w:sz w:val="24"/>
          <w:highlight w:val="none"/>
          <w:lang w:eastAsia="zh-CN"/>
        </w:rPr>
        <w:t>供应商</w:t>
      </w:r>
      <w:r>
        <w:rPr>
          <w:rFonts w:hint="eastAsia" w:ascii="仿宋" w:hAnsi="仿宋" w:eastAsia="仿宋" w:cs="仿宋"/>
          <w:color w:val="000000"/>
          <w:spacing w:val="6"/>
          <w:sz w:val="24"/>
          <w:highlight w:val="none"/>
        </w:rPr>
        <w:t>根据自身</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情况作解释性说明，不作为必填项</w:t>
      </w:r>
      <w:r>
        <w:rPr>
          <w:rFonts w:hint="eastAsia" w:ascii="仿宋" w:hAnsi="仿宋" w:eastAsia="仿宋" w:cs="仿宋"/>
          <w:color w:val="000000"/>
          <w:spacing w:val="6"/>
          <w:sz w:val="24"/>
          <w:highlight w:val="none"/>
          <w:lang w:eastAsia="zh-CN"/>
        </w:rPr>
        <w:t>。</w:t>
      </w:r>
    </w:p>
    <w:p>
      <w:pPr>
        <w:keepNext w:val="0"/>
        <w:keepLines w:val="0"/>
        <w:pageBreakBefore w:val="0"/>
        <w:widowControl w:val="0"/>
        <w:kinsoku/>
        <w:wordWrap/>
        <w:overflowPunct/>
        <w:topLinePunct w:val="0"/>
        <w:autoSpaceDE/>
        <w:autoSpaceDN/>
        <w:bidi w:val="0"/>
        <w:adjustRightInd w:val="0"/>
        <w:snapToGrid/>
        <w:spacing w:line="360" w:lineRule="auto"/>
        <w:ind w:firstLine="504" w:firstLineChars="200"/>
        <w:textAlignment w:val="auto"/>
        <w:outlineLvl w:val="9"/>
        <w:rPr>
          <w:rFonts w:hint="eastAsia" w:ascii="仿宋" w:hAnsi="仿宋" w:eastAsia="仿宋" w:cs="仿宋"/>
          <w:color w:val="000000"/>
          <w:sz w:val="24"/>
          <w:highlight w:val="none"/>
        </w:rPr>
      </w:pPr>
      <w:r>
        <w:rPr>
          <w:rFonts w:hint="eastAsia" w:ascii="仿宋" w:hAnsi="仿宋" w:eastAsia="仿宋" w:cs="仿宋"/>
          <w:color w:val="000000"/>
          <w:spacing w:val="6"/>
          <w:sz w:val="24"/>
          <w:highlight w:val="none"/>
        </w:rPr>
        <w:t>三、</w:t>
      </w:r>
      <w:r>
        <w:rPr>
          <w:rFonts w:hint="eastAsia" w:ascii="仿宋" w:hAnsi="仿宋" w:eastAsia="仿宋" w:cs="仿宋"/>
          <w:color w:val="000000"/>
          <w:spacing w:val="6"/>
          <w:sz w:val="24"/>
          <w:highlight w:val="none"/>
          <w:lang w:eastAsia="zh-CN"/>
        </w:rPr>
        <w:t>未提供格式的由供应商自拟。</w:t>
      </w:r>
    </w:p>
    <w:p>
      <w:pPr>
        <w:snapToGrid/>
        <w:spacing w:line="360" w:lineRule="auto"/>
        <w:jc w:val="left"/>
        <w:outlineLvl w:val="9"/>
        <w:rPr>
          <w:rFonts w:hint="eastAsia" w:ascii="仿宋" w:hAnsi="仿宋" w:eastAsia="仿宋" w:cs="仿宋"/>
          <w:b/>
          <w:bCs/>
          <w:color w:val="auto"/>
          <w:sz w:val="30"/>
          <w:szCs w:val="30"/>
        </w:rPr>
      </w:pPr>
      <w:r>
        <w:rPr>
          <w:rFonts w:hint="eastAsia" w:ascii="仿宋" w:hAnsi="仿宋" w:eastAsia="仿宋" w:cs="仿宋"/>
          <w:b/>
          <w:bCs/>
          <w:color w:val="auto"/>
          <w:sz w:val="30"/>
          <w:szCs w:val="30"/>
        </w:rPr>
        <w:br w:type="page"/>
      </w:r>
    </w:p>
    <w:p>
      <w:p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第一部分“资格性响应文件”格式</w:t>
      </w:r>
    </w:p>
    <w:p>
      <w:pPr>
        <w:pStyle w:val="12"/>
        <w:outlineLvl w:val="2"/>
        <w:rPr>
          <w:rFonts w:hint="eastAsia" w:ascii="仿宋" w:hAnsi="仿宋" w:eastAsia="仿宋" w:cs="仿宋"/>
          <w:b/>
          <w:bCs/>
          <w:color w:val="auto"/>
          <w:sz w:val="24"/>
          <w:szCs w:val="24"/>
        </w:rPr>
      </w:pPr>
      <w:r>
        <w:rPr>
          <w:rFonts w:hint="eastAsia" w:ascii="仿宋" w:hAnsi="仿宋" w:eastAsia="仿宋" w:cs="仿宋"/>
          <w:b/>
          <w:bCs/>
          <w:color w:val="auto"/>
          <w:sz w:val="24"/>
          <w:szCs w:val="24"/>
        </w:rPr>
        <w:t>格式</w:t>
      </w:r>
      <w:r>
        <w:rPr>
          <w:rFonts w:hint="eastAsia" w:ascii="仿宋" w:hAnsi="仿宋" w:eastAsia="仿宋" w:cs="仿宋"/>
          <w:b/>
          <w:bCs/>
          <w:color w:val="auto"/>
          <w:sz w:val="24"/>
          <w:szCs w:val="24"/>
          <w:lang w:val="en-US" w:eastAsia="zh-CN"/>
        </w:rPr>
        <w:t>1-1</w:t>
      </w:r>
      <w:r>
        <w:rPr>
          <w:rFonts w:hint="eastAsia" w:ascii="仿宋" w:hAnsi="仿宋" w:cs="仿宋"/>
          <w:b/>
          <w:bCs/>
          <w:color w:val="auto"/>
          <w:sz w:val="24"/>
        </w:rPr>
        <w:t>:</w:t>
      </w:r>
      <w:r>
        <w:rPr>
          <w:rFonts w:hint="eastAsia" w:ascii="仿宋" w:hAnsi="仿宋" w:eastAsia="仿宋" w:cs="仿宋"/>
          <w:b/>
          <w:bCs/>
          <w:color w:val="auto"/>
          <w:sz w:val="24"/>
          <w:szCs w:val="24"/>
        </w:rPr>
        <w:t>资格性响应文件封面</w:t>
      </w:r>
    </w:p>
    <w:p>
      <w:pPr>
        <w:rPr>
          <w:rFonts w:hint="eastAsia" w:ascii="仿宋" w:hAnsi="仿宋" w:eastAsia="仿宋" w:cs="仿宋"/>
          <w:color w:val="auto"/>
        </w:rPr>
      </w:pPr>
    </w:p>
    <w:p>
      <w:pPr>
        <w:tabs>
          <w:tab w:val="left" w:leader="dot" w:pos="7380"/>
        </w:tabs>
        <w:snapToGrid w:val="0"/>
        <w:spacing w:line="324" w:lineRule="auto"/>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mc:AlternateContent>
          <mc:Choice Requires="wps">
            <w:drawing>
              <wp:anchor distT="0" distB="0" distL="114300" distR="114300" simplePos="0" relativeHeight="251663360" behindDoc="0" locked="0" layoutInCell="1" allowOverlap="1">
                <wp:simplePos x="0" y="0"/>
                <wp:positionH relativeFrom="column">
                  <wp:posOffset>3956685</wp:posOffset>
                </wp:positionH>
                <wp:positionV relativeFrom="paragraph">
                  <wp:posOffset>26035</wp:posOffset>
                </wp:positionV>
                <wp:extent cx="1604645" cy="425450"/>
                <wp:effectExtent l="4445" t="4445" r="10160" b="8255"/>
                <wp:wrapNone/>
                <wp:docPr id="8" name="矩形 8"/>
                <wp:cNvGraphicFramePr/>
                <a:graphic xmlns:a="http://schemas.openxmlformats.org/drawingml/2006/main">
                  <a:graphicData uri="http://schemas.microsoft.com/office/word/2010/wordprocessingShape">
                    <wps:wsp>
                      <wps:cNvSpPr/>
                      <wps:spPr>
                        <a:xfrm>
                          <a:off x="0" y="0"/>
                          <a:ext cx="1714500" cy="425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3.5pt;width:126.35pt;z-index:251663360;mso-width-relative:page;mso-height-relative:page;" fillcolor="#FFFFFF" filled="t" stroked="t" coordsize="21600,21600" o:gfxdata="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IW8+TXAAAACAEAAA8AAAAAAAAAAQAgAAAAIgAAAGRycy9k&#10;b3ducmV2LnhtbFBLAQIUABQAAAAIAIdO4kBqb2tkAwIAADcEAAAOAAAAAAAAAAEAIAAAACYBAABk&#10;cnMvZTJvRG9jLnhtbFBLBQYAAAAABgAGAFkBAACbBQAAAAA=&#10;">
                <v:fill on="t" focussize="0,0"/>
                <v:stroke color="#000000" joinstyle="miter"/>
                <v:imagedata o:title=""/>
                <o:lock v:ext="edit" aspectratio="f"/>
                <v:textbox>
                  <w:txbxContent>
                    <w:p>
                      <w:pPr>
                        <w:jc w:val="center"/>
                        <w:rPr>
                          <w:b/>
                          <w:sz w:val="36"/>
                          <w:szCs w:val="36"/>
                        </w:rPr>
                      </w:pPr>
                      <w:r>
                        <w:rPr>
                          <w:rFonts w:hint="eastAsia"/>
                          <w:b/>
                          <w:sz w:val="36"/>
                          <w:szCs w:val="36"/>
                        </w:rPr>
                        <w:t>正本或副本</w:t>
                      </w:r>
                    </w:p>
                  </w:txbxContent>
                </v:textbox>
              </v:rect>
            </w:pict>
          </mc:Fallback>
        </mc:AlternateContent>
      </w:r>
    </w:p>
    <w:p>
      <w:pPr>
        <w:pStyle w:val="23"/>
        <w:tabs>
          <w:tab w:val="left" w:leader="dot" w:pos="7380"/>
        </w:tabs>
        <w:spacing w:before="100" w:beforeAutospacing="1" w:after="50" w:line="380" w:lineRule="exact"/>
        <w:rPr>
          <w:rFonts w:hint="eastAsia" w:ascii="仿宋" w:hAnsi="仿宋" w:eastAsia="仿宋" w:cs="仿宋"/>
          <w:b/>
          <w:bCs/>
          <w:color w:val="auto"/>
          <w:sz w:val="32"/>
          <w:szCs w:val="32"/>
        </w:rPr>
      </w:pPr>
    </w:p>
    <w:p>
      <w:pPr>
        <w:tabs>
          <w:tab w:val="left" w:leader="dot" w:pos="7380"/>
        </w:tabs>
        <w:snapToGrid w:val="0"/>
        <w:spacing w:line="324" w:lineRule="auto"/>
        <w:jc w:val="left"/>
        <w:rPr>
          <w:rFonts w:hint="eastAsia" w:ascii="仿宋" w:hAnsi="仿宋" w:eastAsia="仿宋" w:cs="仿宋"/>
          <w:b/>
          <w:bCs/>
          <w:color w:val="auto"/>
          <w:sz w:val="32"/>
          <w:szCs w:val="32"/>
        </w:rPr>
      </w:pPr>
    </w:p>
    <w:p>
      <w:pPr>
        <w:tabs>
          <w:tab w:val="left" w:leader="dot" w:pos="7380"/>
        </w:tabs>
        <w:snapToGrid w:val="0"/>
        <w:spacing w:line="324" w:lineRule="auto"/>
        <w:jc w:val="left"/>
        <w:rPr>
          <w:rFonts w:hint="eastAsia" w:ascii="仿宋" w:hAnsi="仿宋" w:eastAsia="仿宋" w:cs="仿宋"/>
          <w:b/>
          <w:bCs/>
          <w:color w:val="auto"/>
          <w:sz w:val="32"/>
          <w:szCs w:val="32"/>
        </w:rPr>
      </w:pPr>
    </w:p>
    <w:p>
      <w:pPr>
        <w:pStyle w:val="12"/>
        <w:rPr>
          <w:rFonts w:hint="eastAsia" w:ascii="仿宋" w:hAnsi="仿宋" w:eastAsia="仿宋" w:cs="仿宋"/>
          <w:color w:val="auto"/>
        </w:rPr>
      </w:pPr>
    </w:p>
    <w:p>
      <w:pPr>
        <w:tabs>
          <w:tab w:val="left" w:leader="dot" w:pos="7380"/>
        </w:tabs>
        <w:snapToGrid w:val="0"/>
        <w:jc w:val="center"/>
        <w:rPr>
          <w:rFonts w:hint="eastAsia" w:ascii="仿宋" w:hAnsi="仿宋" w:eastAsia="仿宋" w:cs="仿宋"/>
          <w:b/>
          <w:bCs/>
          <w:color w:val="auto"/>
          <w:sz w:val="30"/>
          <w:szCs w:val="30"/>
        </w:rPr>
      </w:pPr>
      <w:r>
        <w:rPr>
          <w:rFonts w:hint="eastAsia" w:ascii="仿宋" w:hAnsi="仿宋" w:eastAsia="仿宋" w:cs="仿宋"/>
          <w:b/>
          <w:bCs/>
          <w:color w:val="auto"/>
          <w:sz w:val="84"/>
          <w:szCs w:val="84"/>
        </w:rPr>
        <w:t>资格性响应文件</w:t>
      </w:r>
    </w:p>
    <w:p>
      <w:pPr>
        <w:tabs>
          <w:tab w:val="left" w:leader="dot" w:pos="7380"/>
        </w:tabs>
        <w:snapToGrid w:val="0"/>
        <w:spacing w:line="324" w:lineRule="auto"/>
        <w:jc w:val="center"/>
        <w:rPr>
          <w:rFonts w:hint="eastAsia" w:ascii="仿宋" w:hAnsi="仿宋" w:eastAsia="仿宋" w:cs="仿宋"/>
          <w:b/>
          <w:bCs/>
          <w:color w:val="auto"/>
          <w:sz w:val="32"/>
          <w:szCs w:val="32"/>
        </w:rPr>
      </w:pPr>
    </w:p>
    <w:p>
      <w:pPr>
        <w:tabs>
          <w:tab w:val="left" w:pos="4005"/>
          <w:tab w:val="left" w:leader="dot" w:pos="7380"/>
        </w:tabs>
        <w:snapToGrid w:val="0"/>
        <w:spacing w:line="360"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jc w:val="left"/>
        <w:rPr>
          <w:rFonts w:hint="eastAsia" w:ascii="仿宋" w:hAnsi="仿宋" w:eastAsia="仿宋" w:cs="仿宋"/>
          <w:b/>
          <w:bCs/>
          <w:color w:val="auto"/>
          <w:sz w:val="32"/>
          <w:szCs w:val="32"/>
        </w:rPr>
      </w:pPr>
    </w:p>
    <w:p>
      <w:pPr>
        <w:pStyle w:val="12"/>
        <w:rPr>
          <w:rFonts w:hint="eastAsia" w:ascii="仿宋" w:hAnsi="仿宋" w:eastAsia="仿宋" w:cs="仿宋"/>
          <w:color w:val="auto"/>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pPr>
        <w:tabs>
          <w:tab w:val="left" w:leader="dot" w:pos="7380"/>
        </w:tabs>
        <w:snapToGrid w:val="0"/>
        <w:spacing w:line="324" w:lineRule="auto"/>
        <w:ind w:firstLine="643" w:firstLineChars="200"/>
        <w:jc w:val="both"/>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pPr>
        <w:tabs>
          <w:tab w:val="left" w:leader="dot" w:pos="7380"/>
        </w:tabs>
        <w:snapToGrid w:val="0"/>
        <w:spacing w:line="324" w:lineRule="auto"/>
        <w:ind w:firstLine="643" w:firstLineChars="200"/>
        <w:jc w:val="left"/>
        <w:rPr>
          <w:rFonts w:hint="default" w:ascii="宋体" w:hAnsi="宋体" w:eastAsia="宋体" w:cs="宋体"/>
          <w:b/>
          <w:bCs/>
          <w:color w:val="auto"/>
          <w:sz w:val="32"/>
          <w:szCs w:val="32"/>
          <w:lang w:val="en-US" w:eastAsia="zh-CN"/>
        </w:rPr>
      </w:pPr>
    </w:p>
    <w:p>
      <w:pPr>
        <w:tabs>
          <w:tab w:val="left" w:leader="dot" w:pos="7380"/>
        </w:tabs>
        <w:snapToGrid w:val="0"/>
        <w:spacing w:line="324" w:lineRule="auto"/>
        <w:jc w:val="center"/>
        <w:rPr>
          <w:rFonts w:hint="eastAsia" w:ascii="宋体" w:hAnsi="宋体" w:eastAsia="宋体" w:cs="宋体"/>
          <w:b/>
          <w:bCs/>
          <w:color w:val="auto"/>
          <w:sz w:val="32"/>
          <w:szCs w:val="32"/>
        </w:rPr>
      </w:pPr>
    </w:p>
    <w:p>
      <w:pPr>
        <w:tabs>
          <w:tab w:val="left" w:leader="dot" w:pos="7380"/>
        </w:tabs>
        <w:snapToGrid w:val="0"/>
        <w:spacing w:line="324" w:lineRule="auto"/>
        <w:jc w:val="center"/>
        <w:rPr>
          <w:rFonts w:hint="eastAsia" w:ascii="宋体" w:hAnsi="宋体" w:eastAsia="宋体" w:cs="宋体"/>
          <w:b/>
          <w:bCs/>
          <w:color w:val="auto"/>
          <w:sz w:val="32"/>
          <w:szCs w:val="32"/>
        </w:rPr>
      </w:pPr>
    </w:p>
    <w:p>
      <w:pPr>
        <w:pStyle w:val="12"/>
        <w:rPr>
          <w:rFonts w:hint="eastAsia" w:ascii="宋体" w:hAnsi="宋体" w:eastAsia="宋体" w:cs="宋体"/>
          <w:b/>
          <w:bCs/>
          <w:color w:val="auto"/>
          <w:sz w:val="32"/>
          <w:szCs w:val="32"/>
        </w:rPr>
      </w:pPr>
    </w:p>
    <w:p>
      <w:pPr>
        <w:pStyle w:val="9"/>
        <w:rPr>
          <w:rFonts w:hint="eastAsia" w:ascii="宋体" w:hAnsi="宋体" w:eastAsia="宋体" w:cs="宋体"/>
          <w:b/>
          <w:bCs/>
          <w:color w:val="auto"/>
          <w:sz w:val="32"/>
          <w:szCs w:val="32"/>
        </w:rPr>
      </w:pPr>
    </w:p>
    <w:p>
      <w:pPr>
        <w:widowControl/>
        <w:numPr>
          <w:ilvl w:val="-1"/>
          <w:numId w:val="0"/>
        </w:numPr>
        <w:spacing w:line="240" w:lineRule="auto"/>
        <w:ind w:leftChars="0"/>
        <w:jc w:val="left"/>
        <w:outlineLvl w:val="9"/>
        <w:rPr>
          <w:rFonts w:hint="eastAsia" w:ascii="仿宋" w:hAnsi="仿宋" w:eastAsia="仿宋" w:cs="仿宋"/>
          <w:b/>
          <w:bCs/>
          <w:color w:val="auto"/>
          <w:kern w:val="2"/>
          <w:sz w:val="24"/>
          <w:szCs w:val="24"/>
          <w:highlight w:val="none"/>
          <w:lang w:val="en-US" w:eastAsia="zh-CN" w:bidi="ar-SA"/>
        </w:rPr>
      </w:pPr>
      <w:bookmarkStart w:id="59" w:name="_Toc4357"/>
      <w:r>
        <w:rPr>
          <w:rFonts w:hint="eastAsia" w:ascii="仿宋" w:hAnsi="仿宋" w:eastAsia="仿宋" w:cs="仿宋"/>
          <w:b/>
          <w:bCs/>
          <w:color w:val="auto"/>
          <w:kern w:val="2"/>
          <w:sz w:val="24"/>
          <w:szCs w:val="24"/>
          <w:highlight w:val="none"/>
          <w:lang w:val="en-US" w:eastAsia="zh-CN" w:bidi="ar-SA"/>
        </w:rPr>
        <w:br w:type="page"/>
      </w:r>
    </w:p>
    <w:p>
      <w:pPr>
        <w:widowControl/>
        <w:numPr>
          <w:ilvl w:val="0"/>
          <w:numId w:val="0"/>
        </w:numPr>
        <w:spacing w:line="480" w:lineRule="auto"/>
        <w:ind w:leftChars="0"/>
        <w:jc w:val="both"/>
        <w:outlineLvl w:val="2"/>
        <w:rPr>
          <w:rFonts w:hint="eastAsia" w:ascii="仿宋" w:hAnsi="仿宋" w:eastAsia="仿宋" w:cs="仿宋"/>
          <w:color w:val="auto"/>
          <w:sz w:val="24"/>
          <w:highlight w:val="none"/>
        </w:rPr>
      </w:pPr>
      <w:r>
        <w:rPr>
          <w:rFonts w:hint="eastAsia" w:ascii="仿宋" w:hAnsi="仿宋" w:eastAsia="仿宋" w:cs="仿宋"/>
          <w:b/>
          <w:bCs/>
          <w:color w:val="auto"/>
          <w:kern w:val="2"/>
          <w:sz w:val="24"/>
          <w:szCs w:val="24"/>
          <w:highlight w:val="none"/>
          <w:lang w:val="en-US" w:eastAsia="zh-CN" w:bidi="ar-SA"/>
        </w:rPr>
        <w:t>格式1-2</w:t>
      </w:r>
      <w:r>
        <w:rPr>
          <w:rFonts w:hint="eastAsia" w:ascii="仿宋" w:hAnsi="仿宋" w:cs="仿宋"/>
          <w:b/>
          <w:bCs/>
          <w:color w:val="auto"/>
          <w:sz w:val="24"/>
        </w:rPr>
        <w:t>:</w:t>
      </w:r>
      <w:r>
        <w:rPr>
          <w:rFonts w:hint="eastAsia" w:ascii="仿宋" w:hAnsi="仿宋" w:eastAsia="仿宋" w:cs="仿宋"/>
          <w:b/>
          <w:color w:val="auto"/>
          <w:sz w:val="24"/>
          <w:szCs w:val="24"/>
          <w:highlight w:val="none"/>
        </w:rPr>
        <w:t>法定代表人身份证明</w:t>
      </w:r>
      <w:bookmarkEnd w:id="59"/>
    </w:p>
    <w:p>
      <w:pPr>
        <w:widowControl/>
        <w:spacing w:line="360" w:lineRule="auto"/>
        <w:jc w:val="center"/>
        <w:outlineLvl w:val="9"/>
        <w:rPr>
          <w:rFonts w:hint="eastAsia" w:ascii="仿宋" w:hAnsi="仿宋" w:eastAsia="仿宋" w:cs="仿宋"/>
          <w:b/>
          <w:color w:val="auto"/>
          <w:sz w:val="36"/>
          <w:szCs w:val="36"/>
          <w:highlight w:val="none"/>
        </w:rPr>
      </w:pPr>
      <w:bookmarkStart w:id="60" w:name="_Toc12389"/>
      <w:r>
        <w:rPr>
          <w:rFonts w:hint="eastAsia" w:ascii="仿宋" w:hAnsi="仿宋" w:eastAsia="仿宋" w:cs="仿宋"/>
          <w:b/>
          <w:color w:val="auto"/>
          <w:sz w:val="36"/>
          <w:szCs w:val="36"/>
          <w:highlight w:val="none"/>
        </w:rPr>
        <w:t>法定代表人身份证明</w:t>
      </w:r>
      <w:bookmarkEnd w:id="60"/>
    </w:p>
    <w:p>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pPr>
        <w:spacing w:line="360" w:lineRule="auto"/>
        <w:ind w:left="0" w:leftChars="0" w:firstLine="480" w:firstLineChars="200"/>
        <w:rPr>
          <w:rFonts w:hint="eastAsia" w:ascii="仿宋" w:hAnsi="仿宋" w:eastAsia="仿宋" w:cs="仿宋"/>
          <w:color w:val="auto"/>
          <w:sz w:val="24"/>
          <w:szCs w:val="24"/>
          <w:highlight w:val="none"/>
          <w:lang w:eastAsia="zh-CN"/>
        </w:rPr>
      </w:pPr>
    </w:p>
    <w:p>
      <w:pPr>
        <w:spacing w:line="360" w:lineRule="auto"/>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供应商名称</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单位性质：</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址：</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成立时间：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pPr>
        <w:spacing w:line="360" w:lineRule="auto"/>
        <w:ind w:firstLine="480" w:firstLineChars="200"/>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经营期限：</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pPr>
        <w:spacing w:line="360" w:lineRule="auto"/>
        <w:ind w:firstLine="48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rPr>
        <w:t>姓</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性 别：</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职 务：</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（供应商名称）</w:t>
      </w:r>
      <w:r>
        <w:rPr>
          <w:rFonts w:hint="eastAsia" w:ascii="仿宋" w:hAnsi="仿宋" w:eastAsia="仿宋" w:cs="仿宋"/>
          <w:color w:val="auto"/>
          <w:sz w:val="24"/>
          <w:szCs w:val="24"/>
          <w:highlight w:val="none"/>
        </w:rPr>
        <w:t>的法定代表人。</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特此证明。</w:t>
      </w:r>
    </w:p>
    <w:p>
      <w:pPr>
        <w:spacing w:line="360" w:lineRule="auto"/>
        <w:rPr>
          <w:rFonts w:hint="eastAsia" w:ascii="仿宋" w:hAnsi="仿宋" w:eastAsia="仿宋" w:cs="仿宋"/>
          <w:color w:val="auto"/>
          <w:szCs w:val="21"/>
          <w:highlight w:val="none"/>
        </w:rPr>
      </w:pPr>
    </w:p>
    <w:p>
      <w:pPr>
        <w:wordWrap w:val="0"/>
        <w:spacing w:line="360" w:lineRule="auto"/>
        <w:ind w:firstLine="480" w:firstLineChars="20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highlight w:val="none"/>
        </w:rPr>
        <w:t>附：</w:t>
      </w:r>
      <w:r>
        <w:rPr>
          <w:rFonts w:hint="eastAsia" w:ascii="仿宋" w:hAnsi="仿宋" w:eastAsia="仿宋" w:cs="仿宋"/>
          <w:color w:val="auto"/>
          <w:sz w:val="24"/>
          <w:szCs w:val="24"/>
          <w:highlight w:val="none"/>
          <w:lang w:eastAsia="zh-CN"/>
        </w:rPr>
        <w:t>法定代表人身份证正反面影印件</w:t>
      </w:r>
      <w:r>
        <w:rPr>
          <w:rFonts w:hint="eastAsia" w:ascii="仿宋" w:hAnsi="仿宋" w:eastAsia="仿宋" w:cs="仿宋"/>
          <w:bCs/>
          <w:color w:val="auto"/>
          <w:sz w:val="24"/>
          <w:highlight w:val="none"/>
        </w:rPr>
        <w:t>加盖公章</w:t>
      </w:r>
      <w:r>
        <w:rPr>
          <w:rFonts w:hint="eastAsia" w:ascii="仿宋" w:hAnsi="仿宋" w:eastAsia="仿宋" w:cs="仿宋"/>
          <w:bCs/>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b/>
          <w:bCs/>
          <w:color w:val="auto"/>
          <w:kern w:val="2"/>
          <w:sz w:val="36"/>
          <w:szCs w:val="36"/>
          <w:highlight w:val="none"/>
          <w:lang w:val="en-US" w:eastAsia="zh-CN" w:bidi="ar-SA"/>
        </w:rPr>
      </w:pPr>
      <w:r>
        <w:rPr>
          <w:rFonts w:hint="eastAsia" w:ascii="仿宋" w:hAnsi="仿宋" w:eastAsia="仿宋" w:cs="仿宋"/>
          <w:b/>
          <w:bCs/>
          <w:color w:val="auto"/>
          <w:kern w:val="2"/>
          <w:sz w:val="36"/>
          <w:szCs w:val="36"/>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 xml:space="preserve">供应商名称（加盖公章）：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法定代表人（签字）：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bCs/>
          <w:color w:val="auto"/>
          <w:spacing w:val="-2"/>
          <w:sz w:val="36"/>
          <w:szCs w:val="36"/>
          <w:highlight w:val="none"/>
        </w:rPr>
      </w:pPr>
      <w:r>
        <w:rPr>
          <w:rFonts w:hint="eastAsia" w:ascii="仿宋" w:hAnsi="仿宋" w:eastAsia="仿宋" w:cs="仿宋"/>
          <w:bCs/>
          <w:color w:val="auto"/>
          <w:sz w:val="24"/>
          <w:highlight w:val="none"/>
        </w:rPr>
        <w:t>日    期：</w:t>
      </w:r>
      <w:r>
        <w:rPr>
          <w:rFonts w:hint="eastAsia" w:ascii="仿宋" w:hAnsi="仿宋" w:eastAsia="仿宋" w:cs="仿宋"/>
          <w:b/>
          <w:bCs/>
          <w:color w:val="auto"/>
          <w:kern w:val="2"/>
          <w:sz w:val="36"/>
          <w:szCs w:val="36"/>
          <w:highlight w:val="none"/>
          <w:lang w:val="en-US" w:eastAsia="zh-CN" w:bidi="ar-SA"/>
        </w:rPr>
        <w:t xml:space="preserve">  </w:t>
      </w:r>
    </w:p>
    <w:p>
      <w:pPr>
        <w:spacing w:line="360" w:lineRule="auto"/>
        <w:ind w:left="0" w:leftChars="0" w:firstLine="0" w:firstLineChars="0"/>
        <w:jc w:val="left"/>
        <w:rPr>
          <w:rFonts w:hint="eastAsia" w:ascii="仿宋" w:hAnsi="仿宋" w:eastAsia="仿宋" w:cs="仿宋"/>
          <w:b w:val="0"/>
          <w:bCs/>
          <w:color w:val="auto"/>
          <w:spacing w:val="0"/>
          <w:sz w:val="24"/>
          <w:szCs w:val="24"/>
          <w:highlight w:val="none"/>
          <w:lang w:eastAsia="zh-CN"/>
        </w:rPr>
      </w:pPr>
    </w:p>
    <w:p>
      <w:pPr>
        <w:spacing w:line="360" w:lineRule="auto"/>
        <w:ind w:left="0" w:leftChars="0" w:firstLine="0" w:firstLineChars="0"/>
        <w:jc w:val="left"/>
        <w:rPr>
          <w:rFonts w:hint="eastAsia" w:ascii="仿宋" w:hAnsi="仿宋" w:eastAsia="仿宋" w:cs="仿宋"/>
          <w:b w:val="0"/>
          <w:bCs/>
          <w:color w:val="auto"/>
          <w:spacing w:val="0"/>
          <w:sz w:val="24"/>
          <w:szCs w:val="24"/>
          <w:highlight w:val="none"/>
          <w:lang w:val="en-US" w:eastAsia="zh-CN"/>
        </w:rPr>
      </w:pPr>
      <w:r>
        <w:rPr>
          <w:rFonts w:hint="eastAsia" w:ascii="仿宋" w:hAnsi="仿宋" w:eastAsia="仿宋" w:cs="仿宋"/>
          <w:b w:val="0"/>
          <w:bCs/>
          <w:color w:val="auto"/>
          <w:spacing w:val="0"/>
          <w:sz w:val="24"/>
          <w:szCs w:val="24"/>
          <w:highlight w:val="none"/>
          <w:lang w:eastAsia="zh-CN"/>
        </w:rPr>
        <w:t>说明：</w:t>
      </w:r>
      <w:r>
        <w:rPr>
          <w:rFonts w:hint="eastAsia" w:ascii="仿宋" w:hAnsi="仿宋" w:eastAsia="仿宋" w:cs="仿宋"/>
          <w:b w:val="0"/>
          <w:bCs/>
          <w:color w:val="auto"/>
          <w:spacing w:val="0"/>
          <w:sz w:val="24"/>
          <w:szCs w:val="24"/>
          <w:highlight w:val="none"/>
          <w:lang w:val="en-US" w:eastAsia="zh-CN"/>
        </w:rPr>
        <w:t xml:space="preserve"> </w:t>
      </w:r>
    </w:p>
    <w:p>
      <w:pPr>
        <w:spacing w:line="360" w:lineRule="auto"/>
        <w:ind w:left="0" w:leftChars="0" w:firstLine="480" w:firstLineChars="200"/>
        <w:jc w:val="left"/>
        <w:rPr>
          <w:rFonts w:hint="eastAsia" w:ascii="仿宋" w:hAnsi="仿宋" w:eastAsia="仿宋" w:cs="仿宋"/>
          <w:b w:val="0"/>
          <w:bCs/>
          <w:color w:val="auto"/>
          <w:spacing w:val="0"/>
          <w:sz w:val="24"/>
          <w:szCs w:val="24"/>
          <w:highlight w:val="none"/>
          <w:lang w:eastAsia="zh-CN"/>
        </w:rPr>
      </w:pPr>
      <w:r>
        <w:rPr>
          <w:rFonts w:hint="eastAsia" w:ascii="仿宋" w:hAnsi="仿宋" w:eastAsia="仿宋" w:cs="仿宋"/>
          <w:b w:val="0"/>
          <w:bCs/>
          <w:color w:val="auto"/>
          <w:spacing w:val="0"/>
          <w:sz w:val="24"/>
          <w:szCs w:val="24"/>
          <w:highlight w:val="none"/>
          <w:lang w:val="en-US" w:eastAsia="zh-CN"/>
        </w:rPr>
        <w:t xml:space="preserve">① </w:t>
      </w:r>
      <w:r>
        <w:rPr>
          <w:rFonts w:hint="eastAsia" w:ascii="仿宋" w:hAnsi="仿宋" w:eastAsia="仿宋" w:cs="仿宋"/>
          <w:b w:val="0"/>
          <w:bCs/>
          <w:color w:val="auto"/>
          <w:spacing w:val="0"/>
          <w:sz w:val="24"/>
          <w:szCs w:val="24"/>
          <w:highlight w:val="none"/>
          <w:lang w:eastAsia="zh-CN"/>
        </w:rPr>
        <w:t>供应商代表为法定代表人时提供。</w:t>
      </w:r>
    </w:p>
    <w:p>
      <w:pPr>
        <w:spacing w:line="360" w:lineRule="auto"/>
        <w:ind w:firstLine="480" w:firstLineChars="20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② 银行、保险、石油石化、电力、电信等行业以非法人身份参加谈判的，“法定代表人”指代表单位行使职权的主要负责人，即与实际提交的“营业执照等证明文件”载明的一致。</w:t>
      </w:r>
    </w:p>
    <w:p>
      <w:pPr>
        <w:widowControl/>
        <w:spacing w:line="360" w:lineRule="auto"/>
        <w:ind w:firstLine="0" w:firstLineChars="0"/>
        <w:jc w:val="left"/>
        <w:outlineLvl w:val="9"/>
        <w:rPr>
          <w:rFonts w:hint="eastAsia" w:ascii="宋体" w:hAnsi="宋体" w:eastAsia="宋体" w:cs="宋体"/>
          <w:b/>
          <w:bCs/>
          <w:color w:val="auto"/>
          <w:sz w:val="24"/>
          <w:szCs w:val="24"/>
        </w:rPr>
      </w:pPr>
    </w:p>
    <w:p>
      <w:pPr>
        <w:widowControl/>
        <w:spacing w:line="360" w:lineRule="auto"/>
        <w:ind w:firstLine="0" w:firstLineChars="0"/>
        <w:jc w:val="left"/>
        <w:outlineLvl w:val="9"/>
        <w:rPr>
          <w:rFonts w:hint="eastAsia" w:ascii="宋体" w:hAnsi="宋体" w:eastAsia="宋体" w:cs="宋体"/>
          <w:b/>
          <w:bCs/>
          <w:color w:val="auto"/>
          <w:sz w:val="24"/>
          <w:szCs w:val="24"/>
        </w:rPr>
      </w:pPr>
    </w:p>
    <w:p>
      <w:pPr>
        <w:widowControl/>
        <w:spacing w:line="360" w:lineRule="auto"/>
        <w:ind w:firstLine="0" w:firstLineChars="0"/>
        <w:jc w:val="left"/>
        <w:outlineLvl w:val="9"/>
        <w:rPr>
          <w:rFonts w:hint="eastAsia" w:ascii="宋体" w:hAnsi="宋体" w:eastAsia="宋体" w:cs="宋体"/>
          <w:b/>
          <w:bCs/>
          <w:color w:val="auto"/>
          <w:sz w:val="24"/>
          <w:szCs w:val="24"/>
        </w:rPr>
      </w:pPr>
    </w:p>
    <w:p>
      <w:pPr>
        <w:widowControl/>
        <w:spacing w:line="360" w:lineRule="auto"/>
        <w:ind w:firstLine="0" w:firstLineChars="0"/>
        <w:jc w:val="left"/>
        <w:outlineLvl w:val="9"/>
        <w:rPr>
          <w:rFonts w:hint="eastAsia" w:ascii="宋体" w:hAnsi="宋体" w:eastAsia="宋体" w:cs="宋体"/>
          <w:b/>
          <w:bCs/>
          <w:color w:val="auto"/>
          <w:sz w:val="24"/>
          <w:szCs w:val="24"/>
        </w:rPr>
      </w:pPr>
    </w:p>
    <w:bookmarkEnd w:id="52"/>
    <w:bookmarkEnd w:id="53"/>
    <w:bookmarkEnd w:id="54"/>
    <w:bookmarkEnd w:id="55"/>
    <w:bookmarkEnd w:id="56"/>
    <w:bookmarkEnd w:id="57"/>
    <w:bookmarkEnd w:id="58"/>
    <w:p>
      <w:pPr>
        <w:spacing w:line="240" w:lineRule="auto"/>
        <w:ind w:left="0" w:leftChars="0" w:firstLine="0" w:firstLineChars="0"/>
        <w:jc w:val="left"/>
        <w:outlineLvl w:val="9"/>
        <w:rPr>
          <w:rFonts w:hint="eastAsia" w:ascii="仿宋" w:hAnsi="仿宋" w:eastAsia="仿宋" w:cs="仿宋"/>
          <w:b/>
          <w:bCs/>
          <w:color w:val="auto"/>
          <w:kern w:val="2"/>
          <w:sz w:val="24"/>
          <w:szCs w:val="24"/>
          <w:highlight w:val="none"/>
          <w:lang w:val="en-US" w:eastAsia="zh-CN" w:bidi="ar-SA"/>
        </w:rPr>
      </w:pPr>
      <w:bookmarkStart w:id="61" w:name="_Toc19094"/>
      <w:bookmarkStart w:id="62" w:name="_Toc30155"/>
      <w:r>
        <w:rPr>
          <w:rFonts w:hint="eastAsia" w:ascii="仿宋" w:hAnsi="仿宋" w:eastAsia="仿宋" w:cs="仿宋"/>
          <w:b/>
          <w:bCs/>
          <w:color w:val="auto"/>
          <w:kern w:val="2"/>
          <w:sz w:val="24"/>
          <w:szCs w:val="24"/>
          <w:highlight w:val="none"/>
          <w:lang w:val="en-US" w:eastAsia="zh-CN" w:bidi="ar-SA"/>
        </w:rPr>
        <w:br w:type="page"/>
      </w:r>
    </w:p>
    <w:p>
      <w:pPr>
        <w:spacing w:line="480" w:lineRule="auto"/>
        <w:ind w:left="0" w:leftChars="0" w:firstLine="0" w:firstLineChars="0"/>
        <w:jc w:val="left"/>
        <w:outlineLvl w:val="2"/>
        <w:rPr>
          <w:rFonts w:hint="eastAsia" w:ascii="仿宋" w:hAnsi="仿宋" w:eastAsia="仿宋" w:cs="仿宋"/>
          <w:b/>
          <w:bCs/>
          <w:color w:val="auto"/>
          <w:spacing w:val="-2"/>
          <w:sz w:val="36"/>
          <w:szCs w:val="36"/>
          <w:highlight w:val="none"/>
        </w:rPr>
      </w:pPr>
      <w:r>
        <w:rPr>
          <w:rFonts w:hint="eastAsia" w:ascii="仿宋" w:hAnsi="仿宋" w:eastAsia="仿宋" w:cs="仿宋"/>
          <w:b/>
          <w:bCs/>
          <w:color w:val="auto"/>
          <w:kern w:val="2"/>
          <w:sz w:val="24"/>
          <w:szCs w:val="24"/>
          <w:highlight w:val="none"/>
          <w:lang w:val="en-US" w:eastAsia="zh-CN" w:bidi="ar-SA"/>
        </w:rPr>
        <w:t>格式1-3</w:t>
      </w:r>
      <w:r>
        <w:rPr>
          <w:rFonts w:hint="eastAsia" w:ascii="仿宋" w:hAnsi="仿宋" w:cs="仿宋"/>
          <w:b/>
          <w:bCs/>
          <w:color w:val="auto"/>
          <w:sz w:val="24"/>
        </w:rPr>
        <w:t>:</w:t>
      </w:r>
      <w:r>
        <w:rPr>
          <w:rFonts w:hint="eastAsia" w:ascii="仿宋" w:hAnsi="仿宋" w:eastAsia="仿宋" w:cs="仿宋"/>
          <w:b/>
          <w:bCs/>
          <w:color w:val="auto"/>
          <w:spacing w:val="-2"/>
          <w:sz w:val="24"/>
          <w:szCs w:val="24"/>
          <w:highlight w:val="none"/>
        </w:rPr>
        <w:t>法定代表</w:t>
      </w:r>
      <w:r>
        <w:rPr>
          <w:rFonts w:hint="eastAsia" w:ascii="仿宋" w:hAnsi="仿宋" w:eastAsia="仿宋" w:cs="仿宋"/>
          <w:b/>
          <w:bCs/>
          <w:color w:val="auto"/>
          <w:spacing w:val="-2"/>
          <w:sz w:val="24"/>
          <w:szCs w:val="24"/>
          <w:highlight w:val="none"/>
          <w:lang w:eastAsia="zh-CN"/>
        </w:rPr>
        <w:t>人</w:t>
      </w:r>
      <w:r>
        <w:rPr>
          <w:rFonts w:hint="eastAsia" w:ascii="仿宋" w:hAnsi="仿宋" w:eastAsia="仿宋" w:cs="仿宋"/>
          <w:b/>
          <w:bCs/>
          <w:color w:val="auto"/>
          <w:spacing w:val="-2"/>
          <w:sz w:val="24"/>
          <w:szCs w:val="24"/>
          <w:highlight w:val="none"/>
        </w:rPr>
        <w:t>授权委托书</w:t>
      </w:r>
    </w:p>
    <w:p>
      <w:pPr>
        <w:spacing w:line="360" w:lineRule="auto"/>
        <w:ind w:left="0" w:leftChars="0" w:firstLine="0" w:firstLineChars="0"/>
        <w:jc w:val="center"/>
        <w:outlineLvl w:val="9"/>
        <w:rPr>
          <w:rFonts w:ascii="仿宋" w:hAnsi="仿宋" w:eastAsia="仿宋" w:cs="仿宋"/>
          <w:b/>
          <w:color w:val="auto"/>
          <w:sz w:val="24"/>
          <w:highlight w:val="none"/>
        </w:rPr>
      </w:pPr>
      <w:bookmarkStart w:id="63" w:name="_Toc18432"/>
      <w:r>
        <w:rPr>
          <w:rFonts w:hint="eastAsia" w:ascii="仿宋" w:hAnsi="仿宋" w:eastAsia="仿宋" w:cs="仿宋"/>
          <w:b/>
          <w:bCs/>
          <w:color w:val="auto"/>
          <w:spacing w:val="-2"/>
          <w:sz w:val="36"/>
          <w:szCs w:val="36"/>
          <w:highlight w:val="none"/>
        </w:rPr>
        <w:t>法定代表</w:t>
      </w:r>
      <w:r>
        <w:rPr>
          <w:rFonts w:hint="eastAsia" w:ascii="仿宋" w:hAnsi="仿宋" w:eastAsia="仿宋" w:cs="仿宋"/>
          <w:b/>
          <w:bCs/>
          <w:color w:val="auto"/>
          <w:spacing w:val="-2"/>
          <w:sz w:val="36"/>
          <w:szCs w:val="36"/>
          <w:highlight w:val="none"/>
          <w:lang w:eastAsia="zh-CN"/>
        </w:rPr>
        <w:t>人</w:t>
      </w:r>
      <w:r>
        <w:rPr>
          <w:rFonts w:hint="eastAsia" w:ascii="仿宋" w:hAnsi="仿宋" w:eastAsia="仿宋" w:cs="仿宋"/>
          <w:b/>
          <w:bCs/>
          <w:color w:val="auto"/>
          <w:spacing w:val="-2"/>
          <w:sz w:val="36"/>
          <w:szCs w:val="36"/>
          <w:highlight w:val="none"/>
        </w:rPr>
        <w:t>授权委托书</w:t>
      </w:r>
      <w:bookmarkEnd w:id="63"/>
    </w:p>
    <w:p>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pPr>
        <w:pStyle w:val="17"/>
        <w:snapToGrid w:val="0"/>
        <w:spacing w:line="360" w:lineRule="auto"/>
        <w:ind w:left="0" w:leftChars="0"/>
        <w:rPr>
          <w:rFonts w:hint="eastAsia" w:ascii="仿宋" w:hAnsi="仿宋" w:eastAsia="仿宋" w:cs="仿宋"/>
          <w:bCs/>
          <w:color w:val="auto"/>
          <w:sz w:val="24"/>
          <w:highlight w:val="none"/>
        </w:rPr>
      </w:pPr>
      <w:r>
        <w:rPr>
          <w:rFonts w:hint="eastAsia" w:ascii="仿宋" w:hAnsi="仿宋" w:eastAsia="仿宋" w:cs="仿宋"/>
          <w:bCs/>
          <w:color w:val="auto"/>
          <w:sz w:val="24"/>
          <w:highlight w:val="none"/>
          <w:u w:val="single"/>
          <w:lang w:val="en-US" w:eastAsia="zh-CN"/>
        </w:rPr>
        <w:t>XXXXXX（采购人名称）</w:t>
      </w:r>
      <w:r>
        <w:rPr>
          <w:rFonts w:hint="eastAsia" w:ascii="仿宋" w:hAnsi="仿宋" w:eastAsia="仿宋" w:cs="仿宋"/>
          <w:bCs/>
          <w:color w:val="auto"/>
          <w:sz w:val="24"/>
          <w:highlight w:val="none"/>
        </w:rPr>
        <w:t>：</w:t>
      </w:r>
    </w:p>
    <w:p>
      <w:pPr>
        <w:pStyle w:val="17"/>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本授权声明:___________（供应商名称）</w:t>
      </w:r>
      <w:r>
        <w:rPr>
          <w:rFonts w:hint="eastAsia" w:ascii="仿宋" w:hAnsi="仿宋" w:eastAsia="仿宋" w:cs="仿宋"/>
          <w:bCs/>
          <w:color w:val="auto"/>
          <w:sz w:val="24"/>
          <w:highlight w:val="none"/>
          <w:lang w:eastAsia="zh-CN"/>
        </w:rPr>
        <w:t>法定代表人</w:t>
      </w:r>
      <w:r>
        <w:rPr>
          <w:rFonts w:hint="eastAsia" w:ascii="仿宋" w:hAnsi="仿宋" w:eastAsia="仿宋" w:cs="仿宋"/>
          <w:bCs/>
          <w:color w:val="auto"/>
          <w:sz w:val="24"/>
          <w:highlight w:val="none"/>
        </w:rPr>
        <w:t>___________（法定代表人姓名、职务）授权_________（被授权人姓名、职务）为我方</w:t>
      </w:r>
      <w:r>
        <w:rPr>
          <w:rFonts w:hint="eastAsia" w:ascii="仿宋" w:hAnsi="仿宋" w:eastAsia="仿宋" w:cs="仿宋"/>
          <w:bCs/>
          <w:color w:val="auto"/>
          <w:sz w:val="24"/>
          <w:highlight w:val="none"/>
          <w:lang w:eastAsia="zh-CN"/>
        </w:rPr>
        <w:t>参与</w:t>
      </w:r>
      <w:r>
        <w:rPr>
          <w:rFonts w:hint="eastAsia" w:ascii="仿宋" w:hAnsi="仿宋" w:eastAsia="仿宋" w:cs="仿宋"/>
          <w:bCs/>
          <w:color w:val="auto"/>
          <w:sz w:val="24"/>
          <w:highlight w:val="none"/>
        </w:rPr>
        <w:t xml:space="preserve"> ___________</w:t>
      </w:r>
      <w:r>
        <w:rPr>
          <w:rFonts w:hint="eastAsia" w:ascii="仿宋" w:hAnsi="仿宋" w:eastAsia="仿宋" w:cs="仿宋"/>
          <w:bCs/>
          <w:color w:val="auto"/>
          <w:sz w:val="24"/>
          <w:highlight w:val="none"/>
          <w:lang w:eastAsia="zh-CN"/>
        </w:rPr>
        <w:t>项目</w:t>
      </w:r>
      <w:r>
        <w:rPr>
          <w:rFonts w:hint="eastAsia" w:ascii="仿宋" w:hAnsi="仿宋" w:eastAsia="仿宋" w:cs="仿宋"/>
          <w:bCs/>
          <w:color w:val="auto"/>
          <w:sz w:val="24"/>
          <w:highlight w:val="none"/>
        </w:rPr>
        <w:t>（项目编号：</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eastAsia="zh-CN"/>
        </w:rPr>
        <w:t>谈判</w:t>
      </w:r>
      <w:r>
        <w:rPr>
          <w:rFonts w:hint="eastAsia" w:ascii="仿宋" w:hAnsi="仿宋" w:eastAsia="仿宋" w:cs="仿宋"/>
          <w:bCs/>
          <w:color w:val="auto"/>
          <w:sz w:val="24"/>
          <w:highlight w:val="none"/>
        </w:rPr>
        <w:t>活动的合法代表，以我方名义全权处理该项目有关</w:t>
      </w:r>
      <w:r>
        <w:rPr>
          <w:rFonts w:hint="eastAsia" w:ascii="仿宋" w:hAnsi="仿宋" w:eastAsia="仿宋" w:cs="仿宋"/>
          <w:bCs/>
          <w:color w:val="auto"/>
          <w:sz w:val="24"/>
          <w:highlight w:val="none"/>
          <w:lang w:eastAsia="zh-CN"/>
        </w:rPr>
        <w:t>谈判</w:t>
      </w:r>
      <w:r>
        <w:rPr>
          <w:rFonts w:hint="eastAsia" w:ascii="仿宋" w:hAnsi="仿宋" w:eastAsia="仿宋" w:cs="仿宋"/>
          <w:bCs/>
          <w:color w:val="auto"/>
          <w:sz w:val="24"/>
          <w:highlight w:val="none"/>
        </w:rPr>
        <w:t>、签订合同以及执行合同等一切事宜。</w:t>
      </w:r>
    </w:p>
    <w:p>
      <w:pPr>
        <w:pStyle w:val="17"/>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特此授权。</w:t>
      </w:r>
    </w:p>
    <w:p>
      <w:pPr>
        <w:pStyle w:val="17"/>
        <w:snapToGrid w:val="0"/>
        <w:spacing w:line="360" w:lineRule="auto"/>
        <w:ind w:left="0" w:leftChars="0" w:firstLine="480" w:firstLineChars="200"/>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附：</w:t>
      </w:r>
      <w:r>
        <w:rPr>
          <w:rFonts w:hint="eastAsia" w:ascii="仿宋" w:hAnsi="仿宋" w:eastAsia="仿宋" w:cs="仿宋"/>
          <w:bCs/>
          <w:color w:val="auto"/>
          <w:sz w:val="24"/>
          <w:highlight w:val="none"/>
          <w:lang w:eastAsia="zh-CN"/>
        </w:rPr>
        <w:t>法定代表人和</w:t>
      </w:r>
      <w:r>
        <w:rPr>
          <w:rFonts w:hint="eastAsia" w:ascii="仿宋" w:hAnsi="仿宋" w:eastAsia="仿宋" w:cs="仿宋"/>
          <w:bCs/>
          <w:color w:val="auto"/>
          <w:sz w:val="24"/>
          <w:highlight w:val="none"/>
        </w:rPr>
        <w:t>授权代表身份证</w:t>
      </w:r>
      <w:r>
        <w:rPr>
          <w:rFonts w:hint="eastAsia" w:ascii="仿宋" w:hAnsi="仿宋" w:eastAsia="仿宋" w:cs="仿宋"/>
          <w:bCs/>
          <w:color w:val="auto"/>
          <w:sz w:val="24"/>
          <w:highlight w:val="none"/>
          <w:lang w:eastAsia="zh-CN"/>
        </w:rPr>
        <w:t>正反面影印件</w:t>
      </w:r>
      <w:r>
        <w:rPr>
          <w:rFonts w:hint="eastAsia" w:ascii="仿宋" w:hAnsi="仿宋" w:eastAsia="仿宋" w:cs="仿宋"/>
          <w:bCs/>
          <w:color w:val="auto"/>
          <w:sz w:val="24"/>
          <w:highlight w:val="none"/>
        </w:rPr>
        <w:t>加盖公章</w:t>
      </w:r>
      <w:r>
        <w:rPr>
          <w:rFonts w:hint="eastAsia" w:ascii="仿宋" w:hAnsi="仿宋" w:eastAsia="仿宋" w:cs="仿宋"/>
          <w:bCs/>
          <w:color w:val="auto"/>
          <w:sz w:val="24"/>
          <w:highlight w:val="none"/>
          <w:lang w:eastAsia="zh-CN"/>
        </w:rPr>
        <w:t>。</w:t>
      </w:r>
    </w:p>
    <w:p>
      <w:pPr>
        <w:pStyle w:val="17"/>
        <w:snapToGrid w:val="0"/>
        <w:spacing w:line="360" w:lineRule="auto"/>
        <w:ind w:left="0" w:leftChars="0" w:firstLine="480" w:firstLineChars="200"/>
        <w:rPr>
          <w:rFonts w:ascii="仿宋" w:hAnsi="仿宋" w:eastAsia="仿宋" w:cs="仿宋"/>
          <w:bCs/>
          <w:color w:val="auto"/>
          <w:sz w:val="24"/>
          <w:highlight w:val="none"/>
        </w:rPr>
      </w:pPr>
    </w:p>
    <w:p>
      <w:pPr>
        <w:pStyle w:val="17"/>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 xml:space="preserve">供应商名称（加盖公章）： </w:t>
      </w:r>
    </w:p>
    <w:p>
      <w:pPr>
        <w:pStyle w:val="17"/>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法定代表人签字：</w:t>
      </w:r>
    </w:p>
    <w:p>
      <w:pPr>
        <w:pStyle w:val="17"/>
        <w:snapToGrid w:val="0"/>
        <w:spacing w:line="360" w:lineRule="auto"/>
        <w:ind w:left="0" w:leftChars="0" w:firstLine="480" w:firstLineChars="200"/>
        <w:rPr>
          <w:rFonts w:ascii="仿宋" w:hAnsi="仿宋" w:eastAsia="仿宋" w:cs="仿宋"/>
          <w:bCs/>
          <w:color w:val="auto"/>
          <w:sz w:val="24"/>
          <w:szCs w:val="22"/>
          <w:highlight w:val="none"/>
        </w:rPr>
      </w:pPr>
      <w:r>
        <w:rPr>
          <w:rFonts w:hint="eastAsia" w:ascii="仿宋" w:hAnsi="仿宋" w:eastAsia="仿宋" w:cs="仿宋"/>
          <w:bCs/>
          <w:color w:val="auto"/>
          <w:sz w:val="24"/>
          <w:highlight w:val="none"/>
        </w:rPr>
        <w:t>授权代表签字：</w:t>
      </w:r>
      <w:r>
        <w:rPr>
          <w:rFonts w:hint="eastAsia" w:ascii="仿宋" w:hAnsi="仿宋" w:eastAsia="仿宋" w:cs="仿宋"/>
          <w:bCs/>
          <w:color w:val="auto"/>
          <w:sz w:val="24"/>
          <w:szCs w:val="22"/>
          <w:highlight w:val="none"/>
        </w:rPr>
        <w:t xml:space="preserve">      </w:t>
      </w:r>
    </w:p>
    <w:p>
      <w:pPr>
        <w:pStyle w:val="17"/>
        <w:snapToGrid w:val="0"/>
        <w:spacing w:line="360" w:lineRule="auto"/>
        <w:ind w:left="0" w:leftChars="0" w:firstLine="480" w:firstLineChars="200"/>
        <w:rPr>
          <w:rFonts w:hint="eastAsia" w:ascii="仿宋" w:hAnsi="仿宋" w:eastAsia="仿宋" w:cs="仿宋"/>
          <w:bCs/>
          <w:color w:val="auto"/>
          <w:sz w:val="24"/>
          <w:szCs w:val="22"/>
          <w:highlight w:val="none"/>
        </w:rPr>
      </w:pPr>
      <w:r>
        <w:rPr>
          <w:rFonts w:hint="eastAsia" w:ascii="仿宋" w:hAnsi="仿宋" w:eastAsia="仿宋" w:cs="仿宋"/>
          <w:bCs/>
          <w:color w:val="auto"/>
          <w:sz w:val="24"/>
          <w:szCs w:val="22"/>
          <w:highlight w:val="none"/>
        </w:rPr>
        <w:t>日    期：</w:t>
      </w:r>
    </w:p>
    <w:p>
      <w:pPr>
        <w:pStyle w:val="17"/>
        <w:snapToGrid w:val="0"/>
        <w:spacing w:line="360" w:lineRule="auto"/>
        <w:ind w:left="0" w:leftChars="0" w:firstLine="480" w:firstLineChars="200"/>
        <w:rPr>
          <w:rFonts w:hint="eastAsia" w:ascii="仿宋" w:hAnsi="仿宋" w:eastAsia="仿宋" w:cs="仿宋"/>
          <w:bCs/>
          <w:color w:val="auto"/>
          <w:sz w:val="24"/>
          <w:szCs w:val="22"/>
          <w:highlight w:val="none"/>
        </w:rPr>
      </w:pPr>
    </w:p>
    <w:p>
      <w:pPr>
        <w:pStyle w:val="17"/>
        <w:snapToGrid w:val="0"/>
        <w:spacing w:line="360" w:lineRule="auto"/>
        <w:ind w:left="0" w:leftChars="0" w:firstLine="480" w:firstLineChars="200"/>
        <w:rPr>
          <w:rFonts w:hint="eastAsia" w:ascii="仿宋" w:hAnsi="仿宋" w:eastAsia="仿宋" w:cs="仿宋"/>
          <w:bCs/>
          <w:color w:val="auto"/>
          <w:sz w:val="24"/>
          <w:szCs w:val="22"/>
          <w:highlight w:val="none"/>
          <w:lang w:val="en-US" w:eastAsia="zh-CN"/>
        </w:rPr>
      </w:pPr>
    </w:p>
    <w:p>
      <w:pPr>
        <w:keepNext w:val="0"/>
        <w:keepLines w:val="0"/>
        <w:widowControl/>
        <w:suppressLineNumbers w:val="0"/>
        <w:spacing w:line="360" w:lineRule="auto"/>
        <w:jc w:val="left"/>
        <w:rPr>
          <w:rFonts w:hint="eastAsia" w:ascii="仿宋" w:hAnsi="仿宋" w:eastAsia="仿宋" w:cs="仿宋"/>
          <w:b w:val="0"/>
          <w:bCs/>
          <w:color w:val="auto"/>
          <w:spacing w:val="0"/>
          <w:sz w:val="24"/>
          <w:szCs w:val="24"/>
          <w:highlight w:val="none"/>
          <w:lang w:eastAsia="zh-CN"/>
        </w:rPr>
      </w:pPr>
      <w:r>
        <w:rPr>
          <w:rFonts w:hint="eastAsia" w:ascii="仿宋" w:hAnsi="仿宋" w:eastAsia="仿宋" w:cs="仿宋"/>
          <w:color w:val="auto"/>
          <w:kern w:val="0"/>
          <w:sz w:val="24"/>
          <w:szCs w:val="24"/>
          <w:highlight w:val="none"/>
          <w:lang w:val="en-US" w:eastAsia="zh-CN" w:bidi="ar"/>
        </w:rPr>
        <w:t xml:space="preserve">说明： </w:t>
      </w:r>
      <w:r>
        <w:rPr>
          <w:rFonts w:hint="eastAsia" w:ascii="仿宋" w:hAnsi="仿宋" w:eastAsia="仿宋" w:cs="仿宋"/>
          <w:b w:val="0"/>
          <w:bCs/>
          <w:color w:val="auto"/>
          <w:spacing w:val="0"/>
          <w:sz w:val="24"/>
          <w:szCs w:val="24"/>
          <w:highlight w:val="none"/>
          <w:lang w:eastAsia="zh-CN"/>
        </w:rPr>
        <w:t>供应商代表为非法定代表人时提供。</w:t>
      </w:r>
    </w:p>
    <w:bookmarkEnd w:id="61"/>
    <w:bookmarkEnd w:id="62"/>
    <w:p>
      <w:pPr>
        <w:widowControl/>
        <w:spacing w:line="240" w:lineRule="auto"/>
        <w:ind w:firstLine="0" w:firstLineChars="0"/>
        <w:jc w:val="left"/>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pPr>
        <w:widowControl/>
        <w:spacing w:line="480" w:lineRule="auto"/>
        <w:jc w:val="left"/>
        <w:outlineLvl w:val="2"/>
        <w:rPr>
          <w:rFonts w:hint="eastAsia" w:ascii="仿宋" w:hAnsi="仿宋" w:eastAsia="仿宋" w:cs="仿宋"/>
          <w:b/>
          <w:bCs/>
          <w:color w:val="auto"/>
          <w:spacing w:val="-2"/>
          <w:sz w:val="24"/>
          <w:szCs w:val="24"/>
          <w:highlight w:val="none"/>
          <w:lang w:eastAsia="zh-CN"/>
        </w:rPr>
      </w:pPr>
      <w:r>
        <w:rPr>
          <w:rFonts w:hint="eastAsia" w:ascii="仿宋" w:hAnsi="仿宋" w:eastAsia="仿宋" w:cs="仿宋"/>
          <w:b/>
          <w:bCs/>
          <w:color w:val="auto"/>
          <w:spacing w:val="-2"/>
          <w:sz w:val="24"/>
          <w:szCs w:val="24"/>
          <w:highlight w:val="none"/>
        </w:rPr>
        <w:t>格式1-</w:t>
      </w:r>
      <w:r>
        <w:rPr>
          <w:rFonts w:hint="eastAsia" w:ascii="仿宋" w:hAnsi="仿宋" w:eastAsia="仿宋" w:cs="仿宋"/>
          <w:b/>
          <w:bCs/>
          <w:color w:val="auto"/>
          <w:spacing w:val="-2"/>
          <w:sz w:val="24"/>
          <w:szCs w:val="24"/>
          <w:highlight w:val="none"/>
          <w:lang w:val="en-US" w:eastAsia="zh-CN"/>
        </w:rPr>
        <w:t>4</w:t>
      </w:r>
      <w:r>
        <w:rPr>
          <w:rFonts w:hint="eastAsia" w:ascii="仿宋" w:hAnsi="仿宋" w:eastAsia="仿宋" w:cs="仿宋"/>
          <w:b/>
          <w:bCs/>
          <w:color w:val="auto"/>
          <w:spacing w:val="-2"/>
          <w:sz w:val="24"/>
          <w:highlight w:val="none"/>
        </w:rPr>
        <w:t>:</w:t>
      </w:r>
      <w:r>
        <w:rPr>
          <w:rFonts w:hint="eastAsia" w:ascii="仿宋" w:hAnsi="仿宋" w:eastAsia="仿宋" w:cs="仿宋"/>
          <w:b/>
          <w:bCs/>
          <w:color w:val="auto"/>
          <w:spacing w:val="-2"/>
          <w:sz w:val="24"/>
          <w:szCs w:val="24"/>
          <w:highlight w:val="none"/>
          <w:lang w:eastAsia="zh-CN"/>
        </w:rPr>
        <w:t>资格声明函</w:t>
      </w:r>
    </w:p>
    <w:p>
      <w:pPr>
        <w:widowControl/>
        <w:spacing w:line="360" w:lineRule="auto"/>
        <w:jc w:val="center"/>
        <w:rPr>
          <w:rFonts w:hint="eastAsia" w:ascii="仿宋" w:hAnsi="仿宋" w:eastAsia="仿宋" w:cs="仿宋"/>
          <w:b/>
          <w:bCs/>
          <w:color w:val="auto"/>
          <w:sz w:val="30"/>
          <w:szCs w:val="30"/>
          <w:highlight w:val="none"/>
          <w:lang w:eastAsia="zh-CN"/>
        </w:rPr>
      </w:pPr>
      <w:r>
        <w:rPr>
          <w:rFonts w:hint="eastAsia" w:ascii="仿宋" w:hAnsi="仿宋" w:eastAsia="仿宋" w:cs="仿宋"/>
          <w:b/>
          <w:bCs/>
          <w:color w:val="auto"/>
          <w:spacing w:val="-2"/>
          <w:sz w:val="36"/>
          <w:szCs w:val="36"/>
          <w:highlight w:val="none"/>
          <w:lang w:eastAsia="zh-CN"/>
        </w:rPr>
        <w:t>资格声明函</w:t>
      </w:r>
    </w:p>
    <w:p>
      <w:pPr>
        <w:spacing w:line="360" w:lineRule="auto"/>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pPr>
        <w:widowControl/>
        <w:spacing w:line="360" w:lineRule="auto"/>
        <w:jc w:val="left"/>
        <w:outlineLvl w:val="9"/>
        <w:rPr>
          <w:rFonts w:ascii="仿宋" w:hAnsi="仿宋" w:eastAsia="仿宋"/>
          <w:color w:val="auto"/>
          <w:sz w:val="24"/>
          <w:szCs w:val="24"/>
          <w:highlight w:val="none"/>
        </w:rPr>
      </w:pPr>
      <w:r>
        <w:rPr>
          <w:rFonts w:hint="eastAsia" w:ascii="仿宋" w:hAnsi="仿宋" w:eastAsia="仿宋" w:cs="仿宋"/>
          <w:bCs/>
          <w:color w:val="auto"/>
          <w:sz w:val="24"/>
          <w:highlight w:val="none"/>
          <w:u w:val="single"/>
          <w:lang w:val="en-US" w:eastAsia="zh-CN"/>
        </w:rPr>
        <w:t>XXXXXX（采购人名称）</w:t>
      </w:r>
      <w:r>
        <w:rPr>
          <w:rFonts w:hint="eastAsia" w:ascii="仿宋" w:hAnsi="仿宋" w:eastAsia="仿宋" w:cs="仿宋"/>
          <w:color w:val="auto"/>
          <w:sz w:val="24"/>
          <w:szCs w:val="24"/>
          <w:highlight w:val="none"/>
        </w:rPr>
        <w:t>：</w:t>
      </w:r>
    </w:p>
    <w:p>
      <w:pPr>
        <w:widowControl/>
        <w:spacing w:line="360" w:lineRule="auto"/>
        <w:ind w:firstLine="480" w:firstLineChars="200"/>
        <w:jc w:val="left"/>
        <w:outlineLvl w:val="9"/>
        <w:rPr>
          <w:rFonts w:ascii="仿宋" w:hAnsi="仿宋" w:eastAsia="仿宋"/>
          <w:color w:val="auto"/>
          <w:sz w:val="24"/>
          <w:szCs w:val="24"/>
        </w:rPr>
      </w:pPr>
      <w:r>
        <w:rPr>
          <w:rFonts w:hint="eastAsia" w:ascii="仿宋" w:hAnsi="仿宋" w:eastAsia="仿宋" w:cs="仿宋"/>
          <w:color w:val="auto"/>
          <w:sz w:val="24"/>
          <w:szCs w:val="24"/>
        </w:rPr>
        <w:t>我</w:t>
      </w:r>
      <w:r>
        <w:rPr>
          <w:rFonts w:hint="eastAsia" w:ascii="仿宋" w:hAnsi="仿宋" w:eastAsia="仿宋" w:cs="仿宋"/>
          <w:color w:val="auto"/>
          <w:sz w:val="24"/>
          <w:szCs w:val="24"/>
          <w:lang w:eastAsia="zh-CN"/>
        </w:rPr>
        <w:t>方</w:t>
      </w:r>
      <w:r>
        <w:rPr>
          <w:rFonts w:hint="eastAsia" w:ascii="仿宋" w:hAnsi="仿宋" w:eastAsia="仿宋" w:cs="仿宋"/>
          <w:color w:val="auto"/>
          <w:sz w:val="24"/>
          <w:szCs w:val="24"/>
        </w:rPr>
        <w:t>作为本次采购项目的供应商，根据</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文件要求，现郑重</w:t>
      </w:r>
      <w:r>
        <w:rPr>
          <w:rFonts w:hint="eastAsia" w:ascii="仿宋" w:hAnsi="仿宋" w:eastAsia="仿宋" w:cs="仿宋"/>
          <w:color w:val="auto"/>
          <w:sz w:val="24"/>
          <w:szCs w:val="24"/>
          <w:lang w:eastAsia="zh-CN"/>
        </w:rPr>
        <w:t>声明</w:t>
      </w:r>
      <w:r>
        <w:rPr>
          <w:rFonts w:hint="eastAsia" w:ascii="仿宋" w:hAnsi="仿宋" w:eastAsia="仿宋" w:cs="仿宋"/>
          <w:color w:val="auto"/>
          <w:sz w:val="24"/>
          <w:szCs w:val="24"/>
        </w:rPr>
        <w:t>如下：</w:t>
      </w:r>
    </w:p>
    <w:p>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一、</w:t>
      </w:r>
      <w:r>
        <w:rPr>
          <w:rFonts w:hint="eastAsia" w:ascii="仿宋" w:hAnsi="仿宋" w:eastAsia="仿宋" w:cs="仿宋"/>
          <w:color w:val="auto"/>
          <w:sz w:val="24"/>
          <w:szCs w:val="24"/>
        </w:rPr>
        <w:t>我方</w:t>
      </w:r>
      <w:r>
        <w:rPr>
          <w:rFonts w:hint="eastAsia" w:ascii="仿宋" w:hAnsi="仿宋" w:eastAsia="仿宋" w:cs="仿宋"/>
          <w:bCs/>
          <w:sz w:val="24"/>
        </w:rPr>
        <w:t>具有独立承担民事责任的能力</w:t>
      </w:r>
      <w:r>
        <w:rPr>
          <w:rFonts w:hint="eastAsia" w:ascii="仿宋" w:hAnsi="仿宋" w:eastAsia="仿宋" w:cs="仿宋"/>
          <w:bCs/>
          <w:sz w:val="24"/>
          <w:lang w:eastAsia="zh-CN"/>
        </w:rPr>
        <w:t>。</w:t>
      </w:r>
    </w:p>
    <w:p>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二、</w:t>
      </w:r>
      <w:r>
        <w:rPr>
          <w:rFonts w:hint="eastAsia" w:ascii="仿宋" w:hAnsi="仿宋" w:eastAsia="仿宋" w:cs="仿宋"/>
          <w:color w:val="auto"/>
          <w:sz w:val="24"/>
          <w:szCs w:val="24"/>
        </w:rPr>
        <w:t>我方</w:t>
      </w:r>
      <w:r>
        <w:rPr>
          <w:rFonts w:hint="eastAsia" w:ascii="仿宋" w:hAnsi="仿宋" w:eastAsia="仿宋" w:cs="仿宋"/>
          <w:bCs/>
          <w:sz w:val="24"/>
        </w:rPr>
        <w:t>具有良好的商业信誉和健全的财务会计制度</w:t>
      </w:r>
      <w:r>
        <w:rPr>
          <w:rFonts w:hint="eastAsia" w:ascii="仿宋" w:hAnsi="仿宋" w:eastAsia="仿宋" w:cs="仿宋"/>
          <w:bCs/>
          <w:sz w:val="24"/>
          <w:lang w:eastAsia="zh-CN"/>
        </w:rPr>
        <w:t>。</w:t>
      </w:r>
    </w:p>
    <w:p>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三、</w:t>
      </w:r>
      <w:r>
        <w:rPr>
          <w:rFonts w:hint="eastAsia" w:ascii="仿宋" w:hAnsi="仿宋" w:eastAsia="仿宋" w:cs="仿宋"/>
          <w:color w:val="auto"/>
          <w:sz w:val="24"/>
          <w:szCs w:val="24"/>
        </w:rPr>
        <w:t>我方</w:t>
      </w:r>
      <w:r>
        <w:rPr>
          <w:rFonts w:hint="eastAsia" w:ascii="仿宋" w:hAnsi="仿宋" w:eastAsia="仿宋" w:cs="仿宋"/>
          <w:bCs/>
          <w:sz w:val="24"/>
        </w:rPr>
        <w:t>具有履行合同所必需的设备和专业技术能力</w:t>
      </w:r>
      <w:r>
        <w:rPr>
          <w:rFonts w:hint="eastAsia" w:ascii="仿宋" w:hAnsi="仿宋" w:eastAsia="仿宋" w:cs="仿宋"/>
          <w:bCs/>
          <w:sz w:val="24"/>
          <w:lang w:eastAsia="zh-CN"/>
        </w:rPr>
        <w:t>。</w:t>
      </w:r>
    </w:p>
    <w:p>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四、</w:t>
      </w:r>
      <w:r>
        <w:rPr>
          <w:rFonts w:hint="eastAsia" w:ascii="仿宋" w:hAnsi="仿宋" w:eastAsia="仿宋" w:cs="仿宋"/>
          <w:color w:val="auto"/>
          <w:sz w:val="24"/>
          <w:szCs w:val="24"/>
        </w:rPr>
        <w:t>我方</w:t>
      </w:r>
      <w:r>
        <w:rPr>
          <w:rFonts w:hint="eastAsia" w:ascii="仿宋" w:hAnsi="仿宋" w:eastAsia="仿宋" w:cs="仿宋"/>
          <w:color w:val="auto"/>
          <w:sz w:val="24"/>
          <w:szCs w:val="24"/>
          <w:lang w:eastAsia="zh-CN"/>
        </w:rPr>
        <w:t>具</w:t>
      </w:r>
      <w:r>
        <w:rPr>
          <w:rFonts w:hint="eastAsia" w:ascii="仿宋" w:hAnsi="仿宋" w:eastAsia="仿宋" w:cs="仿宋"/>
          <w:bCs/>
          <w:sz w:val="24"/>
        </w:rPr>
        <w:t>有依法缴纳税收和社会保障资金的良好记录</w:t>
      </w:r>
      <w:r>
        <w:rPr>
          <w:rFonts w:hint="eastAsia" w:ascii="仿宋" w:hAnsi="仿宋" w:eastAsia="仿宋" w:cs="仿宋"/>
          <w:bCs/>
          <w:sz w:val="24"/>
          <w:lang w:eastAsia="zh-CN"/>
        </w:rPr>
        <w:t>。</w:t>
      </w:r>
    </w:p>
    <w:p>
      <w:pPr>
        <w:snapToGrid w:val="0"/>
        <w:spacing w:line="360" w:lineRule="auto"/>
        <w:ind w:firstLine="480" w:firstLineChars="200"/>
        <w:rPr>
          <w:rFonts w:hint="eastAsia" w:ascii="仿宋" w:hAnsi="仿宋" w:eastAsia="仿宋" w:cs="仿宋"/>
          <w:bCs/>
          <w:sz w:val="24"/>
        </w:rPr>
      </w:pPr>
      <w:r>
        <w:rPr>
          <w:rFonts w:hint="eastAsia" w:ascii="仿宋" w:hAnsi="仿宋" w:eastAsia="仿宋" w:cs="仿宋"/>
          <w:color w:val="auto"/>
          <w:sz w:val="24"/>
          <w:szCs w:val="24"/>
          <w:lang w:eastAsia="zh-CN"/>
        </w:rPr>
        <w:t>五、</w:t>
      </w:r>
      <w:r>
        <w:rPr>
          <w:rFonts w:hint="eastAsia" w:ascii="仿宋" w:hAnsi="仿宋" w:eastAsia="仿宋" w:cs="仿宋"/>
          <w:color w:val="auto"/>
          <w:sz w:val="24"/>
          <w:szCs w:val="24"/>
        </w:rPr>
        <w:t>我方</w:t>
      </w:r>
      <w:r>
        <w:rPr>
          <w:rFonts w:hint="eastAsia" w:ascii="仿宋" w:hAnsi="仿宋" w:eastAsia="仿宋" w:cs="仿宋"/>
          <w:bCs/>
          <w:sz w:val="24"/>
        </w:rPr>
        <w:t>参加本次采购活动前三年内，在经营活动中没有重大违法记录；</w:t>
      </w:r>
    </w:p>
    <w:p>
      <w:pPr>
        <w:spacing w:line="360" w:lineRule="auto"/>
        <w:ind w:firstLine="480"/>
        <w:rPr>
          <w:rFonts w:hint="eastAsia" w:ascii="仿宋" w:hAnsi="仿宋" w:eastAsia="仿宋" w:cs="仿宋"/>
          <w:bCs/>
          <w:sz w:val="24"/>
        </w:rPr>
      </w:pPr>
      <w:r>
        <w:rPr>
          <w:rFonts w:hint="eastAsia" w:ascii="仿宋" w:hAnsi="仿宋" w:eastAsia="仿宋" w:cs="仿宋"/>
          <w:color w:val="auto"/>
          <w:sz w:val="24"/>
          <w:szCs w:val="24"/>
          <w:lang w:eastAsia="zh-CN"/>
        </w:rPr>
        <w:t>六、</w:t>
      </w:r>
      <w:r>
        <w:rPr>
          <w:rFonts w:hint="eastAsia" w:ascii="仿宋" w:hAnsi="仿宋" w:eastAsia="仿宋" w:cs="仿宋"/>
          <w:color w:val="auto"/>
          <w:sz w:val="24"/>
          <w:szCs w:val="24"/>
        </w:rPr>
        <w:t>我方</w:t>
      </w:r>
      <w:r>
        <w:rPr>
          <w:rFonts w:hint="eastAsia" w:ascii="仿宋" w:hAnsi="仿宋" w:eastAsia="仿宋" w:cs="仿宋"/>
          <w:color w:val="auto"/>
          <w:sz w:val="24"/>
          <w:szCs w:val="24"/>
          <w:lang w:eastAsia="zh-CN"/>
        </w:rPr>
        <w:t>符合</w:t>
      </w:r>
      <w:r>
        <w:rPr>
          <w:rFonts w:hint="eastAsia" w:ascii="仿宋" w:hAnsi="仿宋" w:eastAsia="仿宋" w:cs="仿宋"/>
          <w:bCs/>
          <w:sz w:val="24"/>
        </w:rPr>
        <w:t>法律、行政法规规定的其他条件。</w:t>
      </w:r>
    </w:p>
    <w:p>
      <w:pPr>
        <w:widowControl/>
        <w:spacing w:line="360" w:lineRule="auto"/>
        <w:ind w:firstLine="480" w:firstLineChars="200"/>
        <w:jc w:val="left"/>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七</w:t>
      </w:r>
      <w:r>
        <w:rPr>
          <w:rFonts w:hint="eastAsia" w:ascii="仿宋" w:hAnsi="仿宋" w:eastAsia="仿宋" w:cs="仿宋"/>
          <w:color w:val="auto"/>
          <w:sz w:val="24"/>
          <w:szCs w:val="24"/>
        </w:rPr>
        <w:t>、截至响应文件递交截止日</w:t>
      </w:r>
      <w:r>
        <w:rPr>
          <w:rFonts w:hint="eastAsia" w:ascii="仿宋" w:hAnsi="仿宋" w:eastAsia="仿宋" w:cs="仿宋"/>
          <w:color w:val="auto"/>
          <w:sz w:val="24"/>
          <w:szCs w:val="24"/>
          <w:lang w:eastAsia="zh-CN"/>
        </w:rPr>
        <w:t>，我方</w:t>
      </w:r>
      <w:r>
        <w:rPr>
          <w:rFonts w:hint="eastAsia" w:ascii="仿宋" w:hAnsi="仿宋" w:eastAsia="仿宋" w:cs="仿宋"/>
          <w:color w:val="auto"/>
          <w:sz w:val="24"/>
          <w:szCs w:val="24"/>
        </w:rPr>
        <w:t>未被列入失信被执行人、重大税收违法案件当事人名单、政府采购严重违法失信行为记录名单。</w:t>
      </w:r>
    </w:p>
    <w:p>
      <w:pPr>
        <w:widowControl/>
        <w:spacing w:line="360" w:lineRule="auto"/>
        <w:ind w:firstLine="480" w:firstLineChars="200"/>
        <w:jc w:val="left"/>
        <w:outlineLvl w:val="9"/>
        <w:rPr>
          <w:rFonts w:hint="eastAsia" w:ascii="仿宋" w:hAnsi="Times New Roman" w:eastAsia="仿宋" w:cs="仿宋"/>
          <w:bCs/>
          <w:color w:val="auto"/>
          <w:sz w:val="24"/>
          <w:highlight w:val="none"/>
          <w:lang w:eastAsia="zh-CN"/>
        </w:rPr>
      </w:pPr>
      <w:r>
        <w:rPr>
          <w:rFonts w:hint="eastAsia" w:ascii="仿宋" w:hAnsi="Times New Roman" w:eastAsia="仿宋" w:cs="仿宋"/>
          <w:bCs/>
          <w:color w:val="auto"/>
          <w:sz w:val="24"/>
          <w:highlight w:val="none"/>
          <w:lang w:eastAsia="zh-CN"/>
        </w:rPr>
        <w:t>八、</w:t>
      </w:r>
      <w:r>
        <w:rPr>
          <w:rFonts w:hint="eastAsia" w:ascii="仿宋" w:hAnsi="Times New Roman" w:eastAsia="仿宋" w:cs="仿宋"/>
          <w:bCs/>
          <w:color w:val="auto"/>
          <w:sz w:val="24"/>
          <w:highlight w:val="none"/>
        </w:rPr>
        <w:t>我单位及其现任法定代表人、主要负责人在参加本次</w:t>
      </w:r>
      <w:r>
        <w:rPr>
          <w:rFonts w:hint="eastAsia" w:ascii="仿宋" w:hAnsi="仿宋" w:eastAsia="仿宋" w:cs="仿宋"/>
          <w:color w:val="auto"/>
          <w:sz w:val="24"/>
          <w:szCs w:val="24"/>
        </w:rPr>
        <w:t>政府</w:t>
      </w:r>
      <w:r>
        <w:rPr>
          <w:rFonts w:hint="eastAsia" w:ascii="仿宋" w:hAnsi="Times New Roman" w:eastAsia="仿宋" w:cs="仿宋"/>
          <w:bCs/>
          <w:color w:val="auto"/>
          <w:sz w:val="24"/>
          <w:highlight w:val="none"/>
        </w:rPr>
        <w:t>采购活动前三年内无行贿犯罪记录</w:t>
      </w:r>
      <w:r>
        <w:rPr>
          <w:rFonts w:hint="eastAsia" w:ascii="仿宋" w:hAnsi="Times New Roman" w:eastAsia="仿宋" w:cs="仿宋"/>
          <w:bCs/>
          <w:color w:val="auto"/>
          <w:sz w:val="24"/>
          <w:highlight w:val="none"/>
          <w:lang w:eastAsia="zh-CN"/>
        </w:rPr>
        <w:t>。</w:t>
      </w:r>
    </w:p>
    <w:p>
      <w:pPr>
        <w:widowControl/>
        <w:spacing w:line="360" w:lineRule="auto"/>
        <w:ind w:firstLine="480" w:firstLineChars="200"/>
        <w:jc w:val="left"/>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九、我方符合第二章供应商须知前附表“充分、公平竞争保障措施”的规定。</w:t>
      </w:r>
    </w:p>
    <w:p>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十、</w:t>
      </w:r>
      <w:r>
        <w:rPr>
          <w:rFonts w:hint="eastAsia" w:ascii="仿宋" w:hAnsi="仿宋" w:eastAsia="仿宋" w:cs="仿宋"/>
          <w:color w:val="auto"/>
          <w:sz w:val="24"/>
          <w:szCs w:val="24"/>
        </w:rPr>
        <w:t>与我方存在直接控股关系的单位为：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；存在管理关系单位为：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。（如果没有的，填写“无”）</w:t>
      </w:r>
    </w:p>
    <w:p>
      <w:pPr>
        <w:widowControl/>
        <w:spacing w:line="360" w:lineRule="auto"/>
        <w:ind w:firstLine="480" w:firstLineChars="200"/>
        <w:jc w:val="left"/>
        <w:outlineLvl w:val="9"/>
        <w:rPr>
          <w:rFonts w:ascii="仿宋" w:hAnsi="仿宋" w:eastAsia="仿宋"/>
          <w:color w:val="auto"/>
          <w:sz w:val="24"/>
          <w:szCs w:val="24"/>
        </w:rPr>
      </w:pPr>
      <w:r>
        <w:rPr>
          <w:rFonts w:hint="eastAsia" w:ascii="仿宋" w:hAnsi="仿宋" w:eastAsia="仿宋" w:cs="仿宋"/>
          <w:color w:val="auto"/>
          <w:sz w:val="24"/>
          <w:szCs w:val="24"/>
        </w:rPr>
        <w:t>本单位对上述承诺的内容事项真实性负责。如经查实上述承诺的内容事项存在虚假，我方愿意依法承担因提供虚假材料谋取</w:t>
      </w:r>
      <w:r>
        <w:rPr>
          <w:rFonts w:hint="eastAsia" w:ascii="仿宋" w:hAnsi="仿宋" w:eastAsia="仿宋" w:cs="仿宋"/>
          <w:color w:val="auto"/>
          <w:sz w:val="24"/>
          <w:szCs w:val="24"/>
          <w:lang w:eastAsia="zh-CN"/>
        </w:rPr>
        <w:t>成交</w:t>
      </w:r>
      <w:r>
        <w:rPr>
          <w:rFonts w:hint="eastAsia" w:ascii="仿宋" w:hAnsi="仿宋" w:eastAsia="仿宋" w:cs="仿宋"/>
          <w:color w:val="auto"/>
          <w:sz w:val="24"/>
          <w:szCs w:val="24"/>
        </w:rPr>
        <w:t>的法律责任。</w:t>
      </w:r>
    </w:p>
    <w:p>
      <w:pPr>
        <w:widowControl/>
        <w:spacing w:line="360" w:lineRule="auto"/>
        <w:ind w:firstLine="480" w:firstLineChars="200"/>
        <w:jc w:val="left"/>
        <w:outlineLvl w:val="9"/>
        <w:rPr>
          <w:rFonts w:ascii="仿宋" w:hAnsi="仿宋" w:eastAsia="仿宋"/>
          <w:color w:val="auto"/>
          <w:sz w:val="24"/>
          <w:szCs w:val="24"/>
        </w:rPr>
      </w:pPr>
    </w:p>
    <w:p>
      <w:pPr>
        <w:widowControl/>
        <w:wordWrap w:val="0"/>
        <w:spacing w:line="360" w:lineRule="auto"/>
        <w:jc w:val="both"/>
        <w:outlineLvl w:val="9"/>
        <w:rPr>
          <w:rFonts w:hint="eastAsia" w:ascii="仿宋" w:hAnsi="仿宋" w:eastAsia="仿宋" w:cs="仿宋"/>
          <w:color w:val="auto"/>
          <w:sz w:val="24"/>
          <w:szCs w:val="24"/>
        </w:rPr>
      </w:pPr>
    </w:p>
    <w:p>
      <w:pPr>
        <w:widowControl/>
        <w:wordWrap w:val="0"/>
        <w:spacing w:line="360" w:lineRule="auto"/>
        <w:jc w:val="both"/>
        <w:outlineLvl w:val="9"/>
        <w:rPr>
          <w:rFonts w:hint="eastAsia" w:ascii="仿宋" w:hAnsi="仿宋" w:eastAsia="仿宋" w:cs="仿宋"/>
          <w:color w:val="auto"/>
          <w:sz w:val="24"/>
          <w:szCs w:val="24"/>
        </w:rPr>
      </w:pPr>
    </w:p>
    <w:p>
      <w:pPr>
        <w:widowControl/>
        <w:wordWrap w:val="0"/>
        <w:spacing w:line="360" w:lineRule="auto"/>
        <w:jc w:val="both"/>
        <w:outlineLvl w:val="9"/>
        <w:rPr>
          <w:rFonts w:hint="eastAsia" w:ascii="仿宋" w:hAnsi="仿宋" w:eastAsia="仿宋" w:cs="仿宋"/>
          <w:color w:val="auto"/>
          <w:sz w:val="24"/>
          <w:szCs w:val="24"/>
        </w:rPr>
      </w:pPr>
    </w:p>
    <w:p>
      <w:pPr>
        <w:widowControl/>
        <w:wordWrap w:val="0"/>
        <w:spacing w:line="360" w:lineRule="auto"/>
        <w:ind w:firstLine="480" w:firstLineChars="200"/>
        <w:jc w:val="both"/>
        <w:outlineLvl w:val="9"/>
        <w:rPr>
          <w:rFonts w:ascii="仿宋" w:hAnsi="仿宋" w:eastAsia="仿宋"/>
          <w:color w:val="auto"/>
          <w:sz w:val="24"/>
          <w:szCs w:val="24"/>
        </w:rPr>
      </w:pPr>
      <w:r>
        <w:rPr>
          <w:rFonts w:hint="eastAsia" w:ascii="仿宋" w:hAnsi="仿宋" w:eastAsia="仿宋" w:cs="仿宋"/>
          <w:color w:val="auto"/>
          <w:sz w:val="24"/>
          <w:szCs w:val="24"/>
        </w:rPr>
        <w:t>供应商名称（单位公章）</w:t>
      </w:r>
      <w:r>
        <w:rPr>
          <w:rFonts w:hint="eastAsia" w:ascii="仿宋" w:hAnsi="仿宋" w:eastAsia="仿宋" w:cs="仿宋"/>
          <w:color w:val="auto"/>
          <w:sz w:val="24"/>
          <w:szCs w:val="24"/>
          <w:lang w:eastAsia="zh-CN"/>
        </w:rPr>
        <w:t>：</w:t>
      </w:r>
      <w:r>
        <w:rPr>
          <w:rFonts w:ascii="仿宋" w:hAnsi="仿宋" w:eastAsia="仿宋" w:cs="仿宋"/>
          <w:color w:val="auto"/>
          <w:sz w:val="24"/>
          <w:szCs w:val="24"/>
        </w:rPr>
        <w:t xml:space="preserve">  </w:t>
      </w:r>
    </w:p>
    <w:p>
      <w:pPr>
        <w:widowControl/>
        <w:spacing w:line="360" w:lineRule="auto"/>
        <w:ind w:firstLine="480" w:firstLineChars="200"/>
        <w:jc w:val="left"/>
        <w:outlineLvl w:val="9"/>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法定代表人或授权代表（签字）：</w:t>
      </w:r>
    </w:p>
    <w:p>
      <w:pPr>
        <w:widowControl/>
        <w:spacing w:line="360" w:lineRule="auto"/>
        <w:ind w:firstLine="480" w:firstLineChars="200"/>
        <w:jc w:val="left"/>
        <w:outlineLvl w:val="9"/>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日</w:t>
      </w:r>
      <w:r>
        <w:rPr>
          <w:rFonts w:hint="eastAsia" w:ascii="仿宋" w:hAnsi="仿宋" w:eastAsia="仿宋" w:cs="仿宋"/>
          <w:b w:val="0"/>
          <w:bCs/>
          <w:color w:val="auto"/>
          <w:sz w:val="24"/>
          <w:szCs w:val="24"/>
          <w:highlight w:val="none"/>
          <w:lang w:val="en-US" w:eastAsia="zh-CN"/>
        </w:rPr>
        <w:t xml:space="preserve">  </w:t>
      </w:r>
      <w:r>
        <w:rPr>
          <w:rFonts w:hint="eastAsia" w:ascii="仿宋" w:hAnsi="仿宋" w:eastAsia="仿宋" w:cs="仿宋"/>
          <w:b w:val="0"/>
          <w:bCs/>
          <w:color w:val="auto"/>
          <w:sz w:val="24"/>
          <w:szCs w:val="24"/>
          <w:highlight w:val="none"/>
          <w:lang w:eastAsia="zh-CN"/>
        </w:rPr>
        <w:t>期：</w:t>
      </w:r>
    </w:p>
    <w:p>
      <w:pPr>
        <w:spacing w:line="360" w:lineRule="auto"/>
        <w:outlineLvl w:val="2"/>
        <w:rPr>
          <w:rFonts w:hint="eastAsia" w:ascii="仿宋" w:hAnsi="仿宋" w:eastAsia="仿宋" w:cs="仿宋"/>
          <w:b/>
          <w:bCs/>
          <w:color w:val="auto"/>
          <w:spacing w:val="-2"/>
          <w:sz w:val="24"/>
          <w:highlight w:val="none"/>
          <w:lang w:eastAsia="zh-CN"/>
        </w:rPr>
      </w:pPr>
      <w:r>
        <w:rPr>
          <w:rFonts w:hint="eastAsia" w:ascii="仿宋" w:hAnsi="仿宋" w:eastAsia="仿宋" w:cs="仿宋"/>
          <w:color w:val="auto"/>
          <w:sz w:val="24"/>
          <w:highlight w:val="none"/>
          <w:lang w:val="zh-CN"/>
        </w:rPr>
        <w:br w:type="page"/>
      </w:r>
      <w:bookmarkStart w:id="64" w:name="_Toc28757"/>
      <w:bookmarkStart w:id="65" w:name="_Toc28015"/>
      <w:r>
        <w:rPr>
          <w:rFonts w:hint="eastAsia" w:ascii="仿宋" w:hAnsi="仿宋" w:eastAsia="仿宋" w:cs="仿宋"/>
          <w:b/>
          <w:bCs/>
          <w:color w:val="auto"/>
          <w:sz w:val="24"/>
          <w:szCs w:val="24"/>
          <w:highlight w:val="none"/>
        </w:rPr>
        <w:t>格式1-</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pacing w:val="-2"/>
          <w:sz w:val="24"/>
          <w:highlight w:val="none"/>
        </w:rPr>
        <w:t>:</w:t>
      </w:r>
      <w:r>
        <w:rPr>
          <w:rFonts w:hint="eastAsia" w:ascii="仿宋" w:hAnsi="仿宋" w:eastAsia="仿宋" w:cs="仿宋"/>
          <w:b/>
          <w:bCs/>
          <w:color w:val="auto"/>
          <w:spacing w:val="-2"/>
          <w:sz w:val="24"/>
          <w:highlight w:val="none"/>
          <w:lang w:eastAsia="zh-CN"/>
        </w:rPr>
        <w:t>供应商应提供的其他资格相关证明材料</w:t>
      </w:r>
    </w:p>
    <w:p>
      <w:pPr>
        <w:keepNext w:val="0"/>
        <w:keepLines w:val="0"/>
        <w:pageBreakBefore w:val="0"/>
        <w:widowControl/>
        <w:kinsoku/>
        <w:wordWrap/>
        <w:overflowPunct/>
        <w:topLinePunct w:val="0"/>
        <w:autoSpaceDE/>
        <w:autoSpaceDN/>
        <w:bidi w:val="0"/>
        <w:adjustRightInd/>
        <w:snapToGrid/>
        <w:spacing w:before="313" w:beforeLines="100" w:after="313" w:afterLines="100" w:line="360" w:lineRule="auto"/>
        <w:jc w:val="center"/>
        <w:textAlignment w:val="auto"/>
        <w:rPr>
          <w:rFonts w:hint="eastAsia" w:ascii="仿宋" w:hAnsi="仿宋" w:eastAsia="仿宋" w:cs="仿宋"/>
          <w:b/>
          <w:bCs/>
          <w:color w:val="auto"/>
          <w:spacing w:val="-2"/>
          <w:sz w:val="36"/>
          <w:szCs w:val="36"/>
          <w:highlight w:val="none"/>
          <w:lang w:eastAsia="zh-CN"/>
        </w:rPr>
      </w:pPr>
      <w:r>
        <w:rPr>
          <w:rFonts w:hint="eastAsia" w:ascii="仿宋" w:hAnsi="仿宋" w:eastAsia="仿宋" w:cs="仿宋"/>
          <w:b/>
          <w:bCs/>
          <w:color w:val="auto"/>
          <w:spacing w:val="-2"/>
          <w:sz w:val="36"/>
          <w:szCs w:val="36"/>
          <w:highlight w:val="none"/>
          <w:lang w:eastAsia="zh-CN"/>
        </w:rPr>
        <w:t>供应商应提供的其他资格相关证明材料</w:t>
      </w:r>
    </w:p>
    <w:p>
      <w:pPr>
        <w:spacing w:line="360" w:lineRule="auto"/>
        <w:ind w:firstLine="480" w:firstLineChars="200"/>
        <w:rPr>
          <w:rFonts w:hint="eastAsia" w:ascii="仿宋" w:hAnsi="仿宋" w:eastAsia="仿宋" w:cs="仿宋"/>
          <w:color w:val="auto"/>
          <w:sz w:val="24"/>
          <w:szCs w:val="24"/>
        </w:rPr>
      </w:pPr>
    </w:p>
    <w:p>
      <w:pPr>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注：供应商应按</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文件第四章相关要求提供佐证材料，有格式要求的从其要求，无格式要求的格式自拟。</w:t>
      </w:r>
    </w:p>
    <w:bookmarkEnd w:id="64"/>
    <w:bookmarkEnd w:id="65"/>
    <w:p>
      <w:pPr>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jc w:val="left"/>
        <w:textAlignment w:val="auto"/>
        <w:outlineLvl w:val="9"/>
        <w:rPr>
          <w:rFonts w:hint="eastAsia" w:ascii="仿宋" w:hAnsi="仿宋" w:eastAsia="仿宋" w:cs="仿宋"/>
          <w:b/>
          <w:bCs w:val="0"/>
          <w:color w:val="auto"/>
          <w:sz w:val="36"/>
          <w:szCs w:val="36"/>
          <w:highlight w:val="none"/>
          <w:lang w:eastAsia="zh-CN"/>
        </w:rPr>
      </w:pPr>
      <w:bookmarkStart w:id="66" w:name="_Toc21416"/>
      <w:bookmarkStart w:id="67" w:name="_Toc14975"/>
      <w:r>
        <w:rPr>
          <w:rFonts w:hint="eastAsia" w:ascii="仿宋" w:hAnsi="仿宋" w:eastAsia="仿宋" w:cs="仿宋"/>
          <w:b/>
          <w:bCs w:val="0"/>
          <w:color w:val="auto"/>
          <w:sz w:val="36"/>
          <w:szCs w:val="36"/>
          <w:highlight w:val="none"/>
          <w:lang w:eastAsia="zh-CN"/>
        </w:rPr>
        <w:br w:type="page"/>
      </w:r>
    </w:p>
    <w:bookmarkEnd w:id="66"/>
    <w:bookmarkEnd w:id="67"/>
    <w:p>
      <w:p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第</w:t>
      </w:r>
      <w:r>
        <w:rPr>
          <w:rFonts w:hint="eastAsia" w:ascii="仿宋" w:hAnsi="仿宋" w:eastAsia="仿宋" w:cs="仿宋"/>
          <w:b/>
          <w:bCs/>
          <w:color w:val="auto"/>
          <w:sz w:val="30"/>
          <w:szCs w:val="30"/>
          <w:lang w:eastAsia="zh-CN"/>
        </w:rPr>
        <w:t>二</w:t>
      </w:r>
      <w:r>
        <w:rPr>
          <w:rFonts w:hint="eastAsia" w:ascii="仿宋" w:hAnsi="仿宋" w:eastAsia="仿宋" w:cs="仿宋"/>
          <w:b/>
          <w:bCs/>
          <w:color w:val="auto"/>
          <w:sz w:val="30"/>
          <w:szCs w:val="30"/>
        </w:rPr>
        <w:t>部分“</w:t>
      </w:r>
      <w:r>
        <w:rPr>
          <w:rFonts w:hint="eastAsia" w:ascii="仿宋" w:hAnsi="仿宋" w:eastAsia="仿宋" w:cs="仿宋"/>
          <w:b/>
          <w:bCs/>
          <w:color w:val="auto"/>
          <w:sz w:val="30"/>
          <w:szCs w:val="30"/>
          <w:lang w:eastAsia="zh-CN"/>
        </w:rPr>
        <w:t>其他</w:t>
      </w:r>
      <w:r>
        <w:rPr>
          <w:rFonts w:hint="eastAsia" w:ascii="仿宋" w:hAnsi="仿宋" w:eastAsia="仿宋" w:cs="仿宋"/>
          <w:b/>
          <w:bCs/>
          <w:color w:val="auto"/>
          <w:sz w:val="30"/>
          <w:szCs w:val="30"/>
        </w:rPr>
        <w:t>响应文件”格式</w:t>
      </w:r>
    </w:p>
    <w:p>
      <w:pPr>
        <w:pStyle w:val="12"/>
        <w:rPr>
          <w:rFonts w:hint="eastAsia"/>
          <w:color w:val="auto"/>
        </w:rPr>
      </w:pPr>
    </w:p>
    <w:p>
      <w:pPr>
        <w:tabs>
          <w:tab w:val="left" w:leader="dot" w:pos="7380"/>
        </w:tabs>
        <w:snapToGrid w:val="0"/>
        <w:spacing w:line="324" w:lineRule="auto"/>
        <w:jc w:val="both"/>
        <w:outlineLvl w:val="2"/>
        <w:rPr>
          <w:rFonts w:hint="eastAsia" w:ascii="仿宋" w:hAnsi="仿宋" w:eastAsia="仿宋" w:cs="仿宋"/>
          <w:b/>
          <w:bCs/>
          <w:color w:val="auto"/>
          <w:sz w:val="24"/>
          <w:szCs w:val="24"/>
        </w:rPr>
      </w:pPr>
      <w:r>
        <w:rPr>
          <w:rFonts w:hint="eastAsia" w:ascii="仿宋" w:hAnsi="仿宋" w:eastAsia="仿宋" w:cs="仿宋"/>
          <w:b/>
          <w:color w:val="auto"/>
          <w:sz w:val="24"/>
          <w:szCs w:val="24"/>
        </w:rPr>
        <w:t>格式</w:t>
      </w:r>
      <w:r>
        <w:rPr>
          <w:rFonts w:hint="eastAsia" w:ascii="仿宋" w:hAnsi="仿宋" w:eastAsia="仿宋" w:cs="仿宋"/>
          <w:b/>
          <w:color w:val="auto"/>
          <w:sz w:val="24"/>
          <w:szCs w:val="24"/>
          <w:lang w:val="en-US" w:eastAsia="zh-CN"/>
        </w:rPr>
        <w:t>2-1</w:t>
      </w:r>
      <w:r>
        <w:rPr>
          <w:rFonts w:hint="eastAsia" w:ascii="仿宋" w:hAnsi="仿宋" w:cs="仿宋"/>
          <w:b/>
          <w:bCs/>
          <w:color w:val="auto"/>
          <w:sz w:val="24"/>
        </w:rPr>
        <w:t>:</w:t>
      </w:r>
      <w:r>
        <w:rPr>
          <w:rFonts w:hint="eastAsia" w:ascii="仿宋" w:hAnsi="仿宋" w:eastAsia="仿宋" w:cs="仿宋"/>
          <w:b/>
          <w:bCs/>
          <w:color w:val="auto"/>
          <w:sz w:val="24"/>
          <w:szCs w:val="24"/>
          <w:lang w:eastAsia="zh-CN"/>
        </w:rPr>
        <w:t>其他</w:t>
      </w:r>
      <w:r>
        <w:rPr>
          <w:rFonts w:hint="eastAsia" w:ascii="仿宋" w:hAnsi="仿宋" w:eastAsia="仿宋" w:cs="仿宋"/>
          <w:b/>
          <w:bCs/>
          <w:color w:val="auto"/>
          <w:sz w:val="24"/>
          <w:szCs w:val="24"/>
        </w:rPr>
        <w:t>响应文件封面</w:t>
      </w:r>
    </w:p>
    <w:p>
      <w:pPr>
        <w:pStyle w:val="12"/>
        <w:rPr>
          <w:rFonts w:hint="eastAsia" w:ascii="仿宋" w:hAnsi="仿宋" w:eastAsia="仿宋" w:cs="仿宋"/>
          <w:b/>
          <w:bCs/>
          <w:color w:val="auto"/>
          <w:sz w:val="30"/>
          <w:szCs w:val="30"/>
        </w:rPr>
      </w:pPr>
    </w:p>
    <w:p>
      <w:pPr>
        <w:rPr>
          <w:rFonts w:hint="eastAsia" w:ascii="仿宋" w:hAnsi="仿宋" w:eastAsia="仿宋" w:cs="仿宋"/>
          <w:color w:val="auto"/>
        </w:rPr>
      </w:pPr>
    </w:p>
    <w:p>
      <w:pPr>
        <w:tabs>
          <w:tab w:val="left" w:leader="dot" w:pos="7380"/>
        </w:tabs>
        <w:snapToGrid w:val="0"/>
        <w:spacing w:line="324" w:lineRule="auto"/>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mc:AlternateContent>
          <mc:Choice Requires="wps">
            <w:drawing>
              <wp:anchor distT="0" distB="0" distL="114300" distR="114300" simplePos="0" relativeHeight="251664384" behindDoc="0" locked="0" layoutInCell="1" allowOverlap="1">
                <wp:simplePos x="0" y="0"/>
                <wp:positionH relativeFrom="column">
                  <wp:posOffset>3956685</wp:posOffset>
                </wp:positionH>
                <wp:positionV relativeFrom="paragraph">
                  <wp:posOffset>26035</wp:posOffset>
                </wp:positionV>
                <wp:extent cx="1714500" cy="438150"/>
                <wp:effectExtent l="4445" t="4445" r="14605" b="14605"/>
                <wp:wrapNone/>
                <wp:docPr id="10" name="矩形 10"/>
                <wp:cNvGraphicFramePr/>
                <a:graphic xmlns:a="http://schemas.openxmlformats.org/drawingml/2006/main">
                  <a:graphicData uri="http://schemas.microsoft.com/office/word/2010/wordprocessingShape">
                    <wps:wsp>
                      <wps:cNvSpPr/>
                      <wps:spPr>
                        <a:xfrm>
                          <a:off x="0" y="0"/>
                          <a:ext cx="1714500" cy="4381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auto"/>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4.5pt;width:135pt;z-index:251664384;mso-width-relative:page;mso-height-relative:page;" fillcolor="#FFFFFF" filled="t" stroked="t" coordsize="21600,21600" o:gfxdata="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QtjK41QAAAAgBAAAPAAAAAAAAAAEAIAAAACIAAABk&#10;cnMvZG93bnJldi54bWxQSwECFAAUAAAACACHTuJAgAHXpQkCAAA5BAAADgAAAAAAAAABACAAAAAk&#10;AQAAZHJzL2Uyb0RvYy54bWxQSwUGAAAAAAYABgBZAQAAnwUAAAAA&#10;">
                <v:fill on="t" focussize="0,0"/>
                <v:stroke color="#000000" joinstyle="miter"/>
                <v:imagedata o:title=""/>
                <o:lock v:ext="edit" aspectratio="f"/>
                <v:textbox>
                  <w:txbxContent>
                    <w:p>
                      <w:pPr>
                        <w:spacing w:line="360" w:lineRule="auto"/>
                        <w:jc w:val="center"/>
                        <w:rPr>
                          <w:b/>
                          <w:sz w:val="36"/>
                          <w:szCs w:val="36"/>
                        </w:rPr>
                      </w:pPr>
                      <w:r>
                        <w:rPr>
                          <w:rFonts w:hint="eastAsia"/>
                          <w:b/>
                          <w:sz w:val="36"/>
                          <w:szCs w:val="36"/>
                        </w:rPr>
                        <w:t>正本或副本</w:t>
                      </w:r>
                    </w:p>
                  </w:txbxContent>
                </v:textbox>
              </v:rect>
            </w:pict>
          </mc:Fallback>
        </mc:AlternateContent>
      </w:r>
    </w:p>
    <w:p>
      <w:pPr>
        <w:pStyle w:val="23"/>
        <w:tabs>
          <w:tab w:val="left" w:leader="dot" w:pos="7380"/>
        </w:tabs>
        <w:spacing w:before="100" w:beforeAutospacing="1" w:after="50" w:line="380" w:lineRule="exact"/>
        <w:rPr>
          <w:rFonts w:hint="eastAsia" w:ascii="仿宋" w:hAnsi="仿宋" w:eastAsia="仿宋" w:cs="仿宋"/>
          <w:b/>
          <w:bCs/>
          <w:color w:val="auto"/>
          <w:sz w:val="32"/>
          <w:szCs w:val="32"/>
        </w:rPr>
      </w:pPr>
    </w:p>
    <w:p>
      <w:pPr>
        <w:tabs>
          <w:tab w:val="left" w:leader="dot" w:pos="7380"/>
        </w:tabs>
        <w:snapToGrid w:val="0"/>
        <w:jc w:val="center"/>
        <w:rPr>
          <w:rFonts w:hint="eastAsia" w:ascii="仿宋" w:hAnsi="仿宋" w:eastAsia="仿宋" w:cs="仿宋"/>
          <w:b/>
          <w:bCs/>
          <w:color w:val="auto"/>
          <w:sz w:val="84"/>
          <w:szCs w:val="84"/>
          <w:lang w:eastAsia="zh-CN"/>
        </w:rPr>
      </w:pPr>
    </w:p>
    <w:p>
      <w:pPr>
        <w:pStyle w:val="12"/>
        <w:rPr>
          <w:rFonts w:hint="eastAsia" w:ascii="仿宋" w:hAnsi="仿宋" w:eastAsia="仿宋" w:cs="仿宋"/>
          <w:color w:val="auto"/>
          <w:lang w:eastAsia="zh-CN"/>
        </w:rPr>
      </w:pPr>
    </w:p>
    <w:p>
      <w:pPr>
        <w:pStyle w:val="12"/>
        <w:rPr>
          <w:rFonts w:hint="eastAsia" w:ascii="仿宋" w:hAnsi="仿宋" w:eastAsia="仿宋" w:cs="仿宋"/>
          <w:color w:val="auto"/>
          <w:lang w:eastAsia="zh-CN"/>
        </w:rPr>
      </w:pPr>
    </w:p>
    <w:p>
      <w:pPr>
        <w:tabs>
          <w:tab w:val="left" w:leader="dot" w:pos="7380"/>
        </w:tabs>
        <w:snapToGrid w:val="0"/>
        <w:jc w:val="center"/>
        <w:rPr>
          <w:rFonts w:hint="eastAsia" w:ascii="仿宋" w:hAnsi="仿宋" w:eastAsia="仿宋" w:cs="仿宋"/>
          <w:b/>
          <w:bCs/>
          <w:color w:val="auto"/>
          <w:sz w:val="84"/>
          <w:szCs w:val="84"/>
        </w:rPr>
      </w:pPr>
      <w:r>
        <w:rPr>
          <w:rFonts w:hint="eastAsia" w:ascii="仿宋" w:hAnsi="仿宋" w:eastAsia="仿宋" w:cs="仿宋"/>
          <w:b/>
          <w:bCs/>
          <w:color w:val="auto"/>
          <w:sz w:val="84"/>
          <w:szCs w:val="84"/>
          <w:lang w:eastAsia="zh-CN"/>
        </w:rPr>
        <w:t>其他</w:t>
      </w:r>
      <w:r>
        <w:rPr>
          <w:rFonts w:hint="eastAsia" w:ascii="仿宋" w:hAnsi="仿宋" w:eastAsia="仿宋" w:cs="仿宋"/>
          <w:b/>
          <w:bCs/>
          <w:color w:val="auto"/>
          <w:sz w:val="84"/>
          <w:szCs w:val="84"/>
        </w:rPr>
        <w:t>响应文件</w:t>
      </w:r>
    </w:p>
    <w:p>
      <w:pPr>
        <w:tabs>
          <w:tab w:val="left" w:leader="dot" w:pos="7380"/>
        </w:tabs>
        <w:snapToGrid w:val="0"/>
        <w:spacing w:line="324" w:lineRule="auto"/>
        <w:jc w:val="left"/>
        <w:rPr>
          <w:rFonts w:hint="eastAsia" w:ascii="仿宋" w:hAnsi="仿宋" w:eastAsia="仿宋" w:cs="仿宋"/>
          <w:b/>
          <w:bCs/>
          <w:color w:val="auto"/>
          <w:sz w:val="32"/>
          <w:szCs w:val="32"/>
        </w:rPr>
      </w:pPr>
    </w:p>
    <w:p>
      <w:pPr>
        <w:tabs>
          <w:tab w:val="left" w:leader="dot" w:pos="7380"/>
        </w:tabs>
        <w:snapToGrid w:val="0"/>
        <w:spacing w:line="324" w:lineRule="auto"/>
        <w:jc w:val="left"/>
        <w:rPr>
          <w:rFonts w:hint="eastAsia" w:ascii="仿宋" w:hAnsi="仿宋" w:eastAsia="仿宋" w:cs="仿宋"/>
          <w:b/>
          <w:bCs/>
          <w:color w:val="auto"/>
          <w:sz w:val="32"/>
          <w:szCs w:val="32"/>
        </w:rPr>
      </w:pP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jc w:val="left"/>
        <w:rPr>
          <w:rFonts w:hint="eastAsia" w:ascii="仿宋" w:hAnsi="仿宋" w:eastAsia="仿宋" w:cs="仿宋"/>
          <w:b/>
          <w:bCs/>
          <w:color w:val="auto"/>
          <w:sz w:val="32"/>
          <w:szCs w:val="32"/>
        </w:rPr>
      </w:pPr>
    </w:p>
    <w:p>
      <w:pPr>
        <w:pStyle w:val="12"/>
        <w:rPr>
          <w:rFonts w:hint="eastAsia" w:ascii="仿宋" w:hAnsi="仿宋" w:eastAsia="仿宋" w:cs="仿宋"/>
          <w:color w:val="auto"/>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pPr>
        <w:tabs>
          <w:tab w:val="left" w:leader="dot" w:pos="7380"/>
        </w:tabs>
        <w:snapToGrid w:val="0"/>
        <w:spacing w:line="324" w:lineRule="auto"/>
        <w:ind w:firstLine="643" w:firstLineChars="200"/>
        <w:jc w:val="both"/>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日 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outlineLvl w:val="9"/>
        <w:rPr>
          <w:rFonts w:hint="eastAsia" w:ascii="仿宋" w:hAnsi="仿宋" w:eastAsia="仿宋" w:cs="仿宋"/>
          <w:b/>
          <w:bCs/>
          <w:color w:val="auto"/>
          <w:kern w:val="2"/>
          <w:sz w:val="24"/>
          <w:szCs w:val="2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outlineLvl w:val="9"/>
        <w:rPr>
          <w:rFonts w:hint="eastAsia" w:ascii="仿宋" w:hAnsi="仿宋" w:eastAsia="仿宋" w:cs="仿宋"/>
          <w:b/>
          <w:bCs/>
          <w:color w:val="auto"/>
          <w:kern w:val="2"/>
          <w:sz w:val="24"/>
          <w:szCs w:val="24"/>
          <w:highlight w:val="none"/>
          <w:lang w:val="en-US" w:eastAsia="zh-CN" w:bidi="ar-SA"/>
        </w:rPr>
      </w:pPr>
    </w:p>
    <w:p>
      <w:pPr>
        <w:spacing w:before="100" w:beforeAutospacing="1" w:after="50" w:line="380" w:lineRule="exact"/>
        <w:rPr>
          <w:rFonts w:hint="eastAsia" w:ascii="仿宋" w:hAnsi="仿宋" w:eastAsia="仿宋" w:cs="仿宋"/>
          <w:b/>
          <w:bCs/>
          <w:color w:val="auto"/>
          <w:kern w:val="2"/>
          <w:sz w:val="24"/>
          <w:szCs w:val="24"/>
          <w:highlight w:val="none"/>
          <w:lang w:val="en-US" w:eastAsia="zh-CN" w:bidi="ar-SA"/>
        </w:rPr>
      </w:pPr>
      <w:bookmarkStart w:id="68" w:name="_Toc31804"/>
      <w:bookmarkStart w:id="69" w:name="_Toc4383"/>
      <w:r>
        <w:rPr>
          <w:rFonts w:hint="eastAsia" w:ascii="仿宋" w:hAnsi="仿宋" w:eastAsia="仿宋" w:cs="仿宋"/>
          <w:b/>
          <w:bCs/>
          <w:color w:val="auto"/>
          <w:kern w:val="2"/>
          <w:sz w:val="24"/>
          <w:szCs w:val="24"/>
          <w:highlight w:val="none"/>
          <w:lang w:val="en-US" w:eastAsia="zh-CN" w:bidi="ar-SA"/>
        </w:rPr>
        <w:br w:type="page"/>
      </w:r>
    </w:p>
    <w:bookmarkEnd w:id="68"/>
    <w:bookmarkEnd w:id="69"/>
    <w:p>
      <w:pPr>
        <w:pStyle w:val="6"/>
        <w:rPr>
          <w:rStyle w:val="78"/>
          <w:rFonts w:hint="eastAsia" w:ascii="仿宋" w:hAnsi="仿宋" w:eastAsia="仿宋" w:cs="仿宋"/>
          <w:b/>
          <w:color w:val="auto"/>
          <w:sz w:val="32"/>
          <w:szCs w:val="32"/>
        </w:rPr>
      </w:pPr>
      <w:bookmarkStart w:id="70" w:name="_Toc28170"/>
      <w:bookmarkStart w:id="71" w:name="_Toc21273"/>
      <w:bookmarkStart w:id="72" w:name="_Toc4608"/>
      <w:r>
        <w:rPr>
          <w:rStyle w:val="118"/>
          <w:rFonts w:hint="eastAsia" w:ascii="仿宋" w:hAnsi="仿宋" w:cs="仿宋"/>
          <w:b/>
          <w:color w:val="auto"/>
          <w:sz w:val="24"/>
          <w:szCs w:val="24"/>
          <w:highlight w:val="none"/>
        </w:rPr>
        <w:t>格式</w:t>
      </w:r>
      <w:r>
        <w:rPr>
          <w:rStyle w:val="118"/>
          <w:rFonts w:hint="eastAsia" w:ascii="仿宋" w:hAnsi="仿宋" w:cs="仿宋"/>
          <w:b/>
          <w:color w:val="auto"/>
          <w:sz w:val="24"/>
          <w:szCs w:val="24"/>
          <w:highlight w:val="none"/>
          <w:lang w:val="en-US" w:eastAsia="zh-CN"/>
        </w:rPr>
        <w:t>2-2</w:t>
      </w:r>
      <w:r>
        <w:rPr>
          <w:rFonts w:hint="eastAsia" w:ascii="仿宋" w:hAnsi="仿宋" w:cs="仿宋"/>
          <w:b/>
          <w:bCs/>
          <w:color w:val="auto"/>
          <w:sz w:val="24"/>
          <w:szCs w:val="24"/>
          <w:highlight w:val="none"/>
          <w:lang w:val="en-US" w:eastAsia="zh-CN"/>
        </w:rPr>
        <w:t>:</w:t>
      </w:r>
      <w:r>
        <w:rPr>
          <w:rStyle w:val="118"/>
          <w:rFonts w:hint="eastAsia" w:ascii="仿宋" w:hAnsi="仿宋" w:cs="仿宋"/>
          <w:b/>
          <w:color w:val="auto"/>
          <w:sz w:val="24"/>
          <w:szCs w:val="24"/>
          <w:highlight w:val="none"/>
          <w:lang w:val="en-US" w:eastAsia="zh-CN"/>
        </w:rPr>
        <w:t>技术服务偏离表</w:t>
      </w:r>
    </w:p>
    <w:p>
      <w:pPr>
        <w:spacing w:line="360" w:lineRule="auto"/>
        <w:jc w:val="center"/>
        <w:outlineLvl w:val="9"/>
        <w:rPr>
          <w:rFonts w:hint="eastAsia" w:ascii="仿宋" w:hAnsi="仿宋" w:eastAsia="仿宋" w:cs="仿宋"/>
          <w:b/>
          <w:bCs/>
          <w:color w:val="auto"/>
          <w:spacing w:val="-2"/>
          <w:sz w:val="36"/>
          <w:szCs w:val="36"/>
        </w:rPr>
      </w:pPr>
      <w:r>
        <w:rPr>
          <w:rFonts w:hint="eastAsia" w:ascii="仿宋" w:hAnsi="仿宋" w:eastAsia="仿宋" w:cs="仿宋"/>
          <w:b/>
          <w:bCs/>
          <w:color w:val="auto"/>
          <w:spacing w:val="-2"/>
          <w:sz w:val="36"/>
          <w:szCs w:val="36"/>
          <w:lang w:eastAsia="zh-CN"/>
        </w:rPr>
        <w:t>技术服务偏离表</w:t>
      </w:r>
    </w:p>
    <w:p>
      <w:pPr>
        <w:pStyle w:val="12"/>
        <w:rPr>
          <w:rFonts w:hint="eastAsia"/>
        </w:rPr>
      </w:pPr>
    </w:p>
    <w:p>
      <w:pPr>
        <w:snapToGrid w:val="0"/>
        <w:spacing w:line="360" w:lineRule="auto"/>
        <w:rPr>
          <w:rFonts w:ascii="仿宋" w:hAnsi="仿宋" w:eastAsia="仿宋" w:cs="仿宋"/>
          <w:color w:val="auto"/>
          <w:sz w:val="24"/>
        </w:rPr>
      </w:pPr>
      <w:r>
        <w:rPr>
          <w:rFonts w:hint="eastAsia" w:ascii="仿宋" w:hAnsi="仿宋" w:eastAsia="仿宋" w:cs="仿宋"/>
          <w:color w:val="auto"/>
          <w:sz w:val="24"/>
        </w:rPr>
        <w:t>项目名称：</w:t>
      </w:r>
    </w:p>
    <w:p>
      <w:pPr>
        <w:pStyle w:val="20"/>
        <w:pBdr>
          <w:bottom w:val="none" w:color="auto" w:sz="0" w:space="0"/>
        </w:pBdr>
        <w:tabs>
          <w:tab w:val="clear" w:pos="4153"/>
          <w:tab w:val="clear" w:pos="8306"/>
        </w:tabs>
        <w:spacing w:line="360" w:lineRule="auto"/>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6"/>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01"/>
        <w:gridCol w:w="3407"/>
        <w:gridCol w:w="2557"/>
        <w:gridCol w:w="1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28"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1601"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3407" w:type="dxa"/>
            <w:vAlign w:val="center"/>
          </w:tcPr>
          <w:p>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rPr>
              <w:t>谈判文件的质量、技术和服务要求</w:t>
            </w:r>
            <w:r>
              <w:rPr>
                <w:rFonts w:hint="eastAsia" w:ascii="仿宋" w:hAnsi="仿宋" w:eastAsia="仿宋" w:cs="仿宋"/>
                <w:color w:val="auto"/>
                <w:sz w:val="24"/>
                <w:lang w:eastAsia="zh-CN"/>
              </w:rPr>
              <w:t>（详见谈判文件第五章）</w:t>
            </w:r>
          </w:p>
        </w:tc>
        <w:tc>
          <w:tcPr>
            <w:tcW w:w="2557" w:type="dxa"/>
            <w:vAlign w:val="center"/>
          </w:tcPr>
          <w:p>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供应商对谈判</w:t>
            </w:r>
            <w:r>
              <w:rPr>
                <w:rFonts w:hint="eastAsia" w:ascii="仿宋" w:hAnsi="仿宋" w:eastAsia="仿宋" w:cs="仿宋"/>
                <w:color w:val="auto"/>
                <w:sz w:val="24"/>
              </w:rPr>
              <w:t>文件的质量、技术和服务要求</w:t>
            </w:r>
            <w:r>
              <w:rPr>
                <w:rFonts w:hint="eastAsia" w:ascii="仿宋" w:hAnsi="仿宋" w:eastAsia="仿宋" w:cs="仿宋"/>
                <w:color w:val="auto"/>
                <w:sz w:val="24"/>
                <w:lang w:eastAsia="zh-CN"/>
              </w:rPr>
              <w:t>响应情况</w:t>
            </w:r>
          </w:p>
        </w:tc>
        <w:tc>
          <w:tcPr>
            <w:tcW w:w="1267"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lang w:eastAsia="zh-CN"/>
              </w:rPr>
              <w:t>应答</w:t>
            </w:r>
            <w:r>
              <w:rPr>
                <w:rFonts w:hint="eastAsia" w:ascii="仿宋" w:hAnsi="仿宋" w:eastAsia="仿宋" w:cs="仿宋"/>
                <w:color w:val="auto"/>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pPr>
              <w:snapToGrid w:val="0"/>
              <w:spacing w:line="360" w:lineRule="auto"/>
              <w:jc w:val="center"/>
              <w:rPr>
                <w:rFonts w:ascii="仿宋" w:hAnsi="仿宋" w:eastAsia="仿宋" w:cs="仿宋"/>
                <w:color w:val="auto"/>
                <w:sz w:val="24"/>
              </w:rPr>
            </w:pPr>
          </w:p>
        </w:tc>
        <w:tc>
          <w:tcPr>
            <w:tcW w:w="1601" w:type="dxa"/>
            <w:vAlign w:val="center"/>
          </w:tcPr>
          <w:p>
            <w:pPr>
              <w:snapToGrid w:val="0"/>
              <w:spacing w:line="360" w:lineRule="auto"/>
              <w:jc w:val="center"/>
              <w:rPr>
                <w:rFonts w:ascii="仿宋" w:hAnsi="仿宋" w:eastAsia="仿宋" w:cs="仿宋"/>
                <w:color w:val="auto"/>
                <w:sz w:val="24"/>
              </w:rPr>
            </w:pPr>
          </w:p>
        </w:tc>
        <w:tc>
          <w:tcPr>
            <w:tcW w:w="3407" w:type="dxa"/>
            <w:vAlign w:val="center"/>
          </w:tcPr>
          <w:p>
            <w:pPr>
              <w:snapToGrid w:val="0"/>
              <w:spacing w:line="360" w:lineRule="auto"/>
              <w:jc w:val="center"/>
              <w:rPr>
                <w:rFonts w:ascii="仿宋" w:hAnsi="仿宋" w:eastAsia="仿宋" w:cs="仿宋"/>
                <w:color w:val="auto"/>
                <w:sz w:val="24"/>
              </w:rPr>
            </w:pPr>
          </w:p>
        </w:tc>
        <w:tc>
          <w:tcPr>
            <w:tcW w:w="2557" w:type="dxa"/>
            <w:vAlign w:val="center"/>
          </w:tcPr>
          <w:p>
            <w:pPr>
              <w:snapToGrid w:val="0"/>
              <w:spacing w:line="360" w:lineRule="auto"/>
              <w:ind w:left="317" w:hanging="316" w:hangingChars="132"/>
              <w:jc w:val="center"/>
              <w:rPr>
                <w:rFonts w:ascii="仿宋" w:hAnsi="仿宋" w:eastAsia="仿宋" w:cs="仿宋"/>
                <w:color w:val="auto"/>
                <w:sz w:val="24"/>
              </w:rPr>
            </w:pPr>
          </w:p>
        </w:tc>
        <w:tc>
          <w:tcPr>
            <w:tcW w:w="1267" w:type="dxa"/>
            <w:vAlign w:val="center"/>
          </w:tcPr>
          <w:p>
            <w:pPr>
              <w:snapToGrid w:val="0"/>
              <w:spacing w:line="360" w:lineRule="auto"/>
              <w:ind w:left="317" w:hanging="316" w:hangingChars="132"/>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pPr>
              <w:snapToGrid w:val="0"/>
              <w:spacing w:line="360" w:lineRule="auto"/>
              <w:jc w:val="center"/>
              <w:rPr>
                <w:rFonts w:ascii="仿宋" w:hAnsi="仿宋" w:eastAsia="仿宋" w:cs="仿宋"/>
                <w:color w:val="auto"/>
                <w:sz w:val="24"/>
              </w:rPr>
            </w:pPr>
          </w:p>
        </w:tc>
        <w:tc>
          <w:tcPr>
            <w:tcW w:w="1601" w:type="dxa"/>
            <w:vAlign w:val="center"/>
          </w:tcPr>
          <w:p>
            <w:pPr>
              <w:snapToGrid w:val="0"/>
              <w:spacing w:line="360" w:lineRule="auto"/>
              <w:jc w:val="center"/>
              <w:rPr>
                <w:rFonts w:ascii="仿宋" w:hAnsi="仿宋" w:eastAsia="仿宋" w:cs="仿宋"/>
                <w:color w:val="auto"/>
                <w:sz w:val="24"/>
              </w:rPr>
            </w:pPr>
          </w:p>
        </w:tc>
        <w:tc>
          <w:tcPr>
            <w:tcW w:w="3407" w:type="dxa"/>
            <w:vAlign w:val="center"/>
          </w:tcPr>
          <w:p>
            <w:pPr>
              <w:snapToGrid w:val="0"/>
              <w:spacing w:line="360" w:lineRule="auto"/>
              <w:jc w:val="center"/>
              <w:rPr>
                <w:rFonts w:ascii="仿宋" w:hAnsi="仿宋" w:eastAsia="仿宋" w:cs="仿宋"/>
                <w:color w:val="auto"/>
                <w:sz w:val="24"/>
              </w:rPr>
            </w:pPr>
          </w:p>
        </w:tc>
        <w:tc>
          <w:tcPr>
            <w:tcW w:w="2557" w:type="dxa"/>
            <w:vAlign w:val="center"/>
          </w:tcPr>
          <w:p>
            <w:pPr>
              <w:snapToGrid w:val="0"/>
              <w:spacing w:line="360" w:lineRule="auto"/>
              <w:jc w:val="center"/>
              <w:rPr>
                <w:rFonts w:ascii="仿宋" w:hAnsi="仿宋" w:eastAsia="仿宋" w:cs="仿宋"/>
                <w:color w:val="auto"/>
                <w:sz w:val="24"/>
              </w:rPr>
            </w:pPr>
          </w:p>
        </w:tc>
        <w:tc>
          <w:tcPr>
            <w:tcW w:w="1267" w:type="dxa"/>
            <w:vAlign w:val="center"/>
          </w:tcPr>
          <w:p>
            <w:pPr>
              <w:snapToGrid w:val="0"/>
              <w:spacing w:line="360" w:lineRule="auto"/>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pPr>
              <w:snapToGrid w:val="0"/>
              <w:spacing w:line="360" w:lineRule="auto"/>
              <w:jc w:val="center"/>
              <w:rPr>
                <w:rFonts w:ascii="仿宋" w:hAnsi="仿宋" w:eastAsia="仿宋" w:cs="仿宋"/>
                <w:color w:val="auto"/>
                <w:sz w:val="24"/>
              </w:rPr>
            </w:pPr>
          </w:p>
        </w:tc>
        <w:tc>
          <w:tcPr>
            <w:tcW w:w="1601" w:type="dxa"/>
            <w:vAlign w:val="center"/>
          </w:tcPr>
          <w:p>
            <w:pPr>
              <w:snapToGrid w:val="0"/>
              <w:spacing w:line="360" w:lineRule="auto"/>
              <w:jc w:val="center"/>
              <w:rPr>
                <w:rFonts w:ascii="仿宋" w:hAnsi="仿宋" w:eastAsia="仿宋" w:cs="仿宋"/>
                <w:color w:val="auto"/>
                <w:sz w:val="24"/>
              </w:rPr>
            </w:pPr>
          </w:p>
        </w:tc>
        <w:tc>
          <w:tcPr>
            <w:tcW w:w="3407" w:type="dxa"/>
            <w:vAlign w:val="center"/>
          </w:tcPr>
          <w:p>
            <w:pPr>
              <w:snapToGrid w:val="0"/>
              <w:spacing w:line="360" w:lineRule="auto"/>
              <w:jc w:val="center"/>
              <w:rPr>
                <w:rFonts w:ascii="仿宋" w:hAnsi="仿宋" w:eastAsia="仿宋" w:cs="仿宋"/>
                <w:color w:val="auto"/>
                <w:sz w:val="24"/>
              </w:rPr>
            </w:pPr>
          </w:p>
        </w:tc>
        <w:tc>
          <w:tcPr>
            <w:tcW w:w="2557" w:type="dxa"/>
            <w:vAlign w:val="center"/>
          </w:tcPr>
          <w:p>
            <w:pPr>
              <w:snapToGrid w:val="0"/>
              <w:spacing w:line="360" w:lineRule="auto"/>
              <w:jc w:val="center"/>
              <w:rPr>
                <w:rFonts w:ascii="仿宋" w:hAnsi="仿宋" w:eastAsia="仿宋" w:cs="仿宋"/>
                <w:color w:val="auto"/>
                <w:sz w:val="24"/>
              </w:rPr>
            </w:pPr>
          </w:p>
        </w:tc>
        <w:tc>
          <w:tcPr>
            <w:tcW w:w="1267" w:type="dxa"/>
            <w:vAlign w:val="center"/>
          </w:tcPr>
          <w:p>
            <w:pPr>
              <w:snapToGrid w:val="0"/>
              <w:spacing w:line="360" w:lineRule="auto"/>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828" w:type="dxa"/>
            <w:vAlign w:val="center"/>
          </w:tcPr>
          <w:p>
            <w:pPr>
              <w:snapToGrid w:val="0"/>
              <w:spacing w:line="360" w:lineRule="auto"/>
              <w:jc w:val="center"/>
              <w:rPr>
                <w:rFonts w:ascii="仿宋" w:hAnsi="仿宋" w:eastAsia="仿宋" w:cs="仿宋"/>
                <w:color w:val="auto"/>
                <w:sz w:val="24"/>
              </w:rPr>
            </w:pPr>
          </w:p>
        </w:tc>
        <w:tc>
          <w:tcPr>
            <w:tcW w:w="1601" w:type="dxa"/>
            <w:vAlign w:val="center"/>
          </w:tcPr>
          <w:p>
            <w:pPr>
              <w:snapToGrid w:val="0"/>
              <w:spacing w:line="360" w:lineRule="auto"/>
              <w:jc w:val="center"/>
              <w:rPr>
                <w:rFonts w:ascii="仿宋" w:hAnsi="仿宋" w:eastAsia="仿宋" w:cs="仿宋"/>
                <w:color w:val="auto"/>
                <w:sz w:val="24"/>
              </w:rPr>
            </w:pPr>
          </w:p>
        </w:tc>
        <w:tc>
          <w:tcPr>
            <w:tcW w:w="3407" w:type="dxa"/>
            <w:vAlign w:val="center"/>
          </w:tcPr>
          <w:p>
            <w:pPr>
              <w:snapToGrid w:val="0"/>
              <w:spacing w:line="360" w:lineRule="auto"/>
              <w:jc w:val="center"/>
              <w:rPr>
                <w:rFonts w:ascii="仿宋" w:hAnsi="仿宋" w:eastAsia="仿宋" w:cs="仿宋"/>
                <w:color w:val="auto"/>
                <w:sz w:val="24"/>
              </w:rPr>
            </w:pPr>
          </w:p>
        </w:tc>
        <w:tc>
          <w:tcPr>
            <w:tcW w:w="2557" w:type="dxa"/>
            <w:vAlign w:val="center"/>
          </w:tcPr>
          <w:p>
            <w:pPr>
              <w:snapToGrid w:val="0"/>
              <w:spacing w:line="360" w:lineRule="auto"/>
              <w:jc w:val="center"/>
              <w:rPr>
                <w:rFonts w:ascii="仿宋" w:hAnsi="仿宋" w:eastAsia="仿宋" w:cs="仿宋"/>
                <w:color w:val="auto"/>
                <w:sz w:val="24"/>
              </w:rPr>
            </w:pPr>
          </w:p>
        </w:tc>
        <w:tc>
          <w:tcPr>
            <w:tcW w:w="1267" w:type="dxa"/>
            <w:vAlign w:val="center"/>
          </w:tcPr>
          <w:p>
            <w:pPr>
              <w:snapToGrid w:val="0"/>
              <w:spacing w:line="360" w:lineRule="auto"/>
              <w:jc w:val="center"/>
              <w:rPr>
                <w:rFonts w:ascii="仿宋" w:hAnsi="仿宋" w:eastAsia="仿宋" w:cs="仿宋"/>
                <w:color w:val="auto"/>
                <w:sz w:val="24"/>
              </w:rPr>
            </w:pPr>
          </w:p>
        </w:tc>
      </w:tr>
    </w:tbl>
    <w:p>
      <w:pPr>
        <w:snapToGrid w:val="0"/>
        <w:spacing w:line="360" w:lineRule="auto"/>
        <w:ind w:left="480" w:hanging="480" w:hangingChars="200"/>
        <w:rPr>
          <w:rFonts w:ascii="仿宋" w:hAnsi="仿宋" w:eastAsia="仿宋" w:cs="仿宋"/>
          <w:color w:val="auto"/>
          <w:sz w:val="24"/>
        </w:rPr>
      </w:pPr>
    </w:p>
    <w:p>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w:t>
      </w:r>
      <w:r>
        <w:rPr>
          <w:rFonts w:hint="eastAsia" w:ascii="仿宋" w:hAnsi="仿宋" w:eastAsia="仿宋" w:cs="仿宋"/>
          <w:bCs/>
          <w:color w:val="auto"/>
          <w:sz w:val="24"/>
          <w:lang w:val="en-US" w:eastAsia="zh-CN"/>
        </w:rPr>
        <w:t>.</w:t>
      </w:r>
      <w:r>
        <w:rPr>
          <w:rFonts w:hint="eastAsia" w:ascii="仿宋" w:hAnsi="仿宋" w:eastAsia="仿宋" w:cs="仿宋"/>
          <w:color w:val="000000"/>
          <w:sz w:val="24"/>
          <w:highlight w:val="none"/>
          <w:lang w:val="zh-CN"/>
        </w:rPr>
        <w:t>供应商应当按照采购文件第五章</w:t>
      </w:r>
      <w:r>
        <w:rPr>
          <w:rFonts w:hint="eastAsia" w:ascii="仿宋" w:hAnsi="仿宋" w:eastAsia="仿宋" w:cs="仿宋"/>
          <w:color w:val="000000"/>
          <w:sz w:val="24"/>
          <w:highlight w:val="none"/>
          <w:lang w:val="en-US" w:eastAsia="zh-CN"/>
        </w:rPr>
        <w:t>“技术参数要求”逐条进行应答</w:t>
      </w:r>
      <w:r>
        <w:rPr>
          <w:rFonts w:hint="eastAsia" w:ascii="仿宋" w:hAnsi="仿宋" w:eastAsia="仿宋" w:cs="仿宋"/>
          <w:bCs/>
          <w:color w:val="auto"/>
          <w:sz w:val="24"/>
        </w:rPr>
        <w:t>。</w:t>
      </w:r>
    </w:p>
    <w:p>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按照谈判</w:t>
      </w:r>
      <w:r>
        <w:rPr>
          <w:rFonts w:hint="eastAsia" w:ascii="仿宋" w:hAnsi="仿宋" w:eastAsia="仿宋" w:cs="仿宋"/>
          <w:bCs/>
          <w:color w:val="auto"/>
          <w:sz w:val="24"/>
          <w:lang w:eastAsia="zh-CN"/>
        </w:rPr>
        <w:t>文件</w:t>
      </w:r>
      <w:r>
        <w:rPr>
          <w:rFonts w:hint="eastAsia" w:ascii="仿宋" w:hAnsi="仿宋" w:eastAsia="仿宋" w:cs="仿宋"/>
          <w:bCs/>
          <w:color w:val="auto"/>
          <w:sz w:val="24"/>
        </w:rPr>
        <w:t>服务要求的顺序对应填写。</w:t>
      </w:r>
    </w:p>
    <w:p>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供应商必须据实填写，不得虚假填写，否则将取消其谈判或成交资格。</w:t>
      </w:r>
    </w:p>
    <w:p>
      <w:pPr>
        <w:snapToGrid w:val="0"/>
        <w:spacing w:line="360" w:lineRule="auto"/>
        <w:ind w:firstLine="480" w:firstLineChars="200"/>
        <w:rPr>
          <w:rFonts w:ascii="仿宋" w:hAnsi="仿宋" w:eastAsia="仿宋" w:cs="仿宋"/>
          <w:bCs/>
          <w:color w:val="auto"/>
          <w:sz w:val="24"/>
        </w:rPr>
      </w:pP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供应商名称（盖章）：</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pPr>
        <w:rPr>
          <w:rStyle w:val="118"/>
          <w:rFonts w:ascii="仿宋" w:hAnsi="仿宋" w:eastAsia="仿宋" w:cs="仿宋"/>
          <w:b/>
          <w:color w:val="auto"/>
          <w:sz w:val="24"/>
          <w:szCs w:val="24"/>
          <w:highlight w:val="none"/>
        </w:rPr>
      </w:pPr>
      <w:r>
        <w:rPr>
          <w:rStyle w:val="118"/>
          <w:rFonts w:ascii="仿宋" w:hAnsi="仿宋" w:eastAsia="仿宋" w:cs="仿宋"/>
          <w:b/>
          <w:color w:val="auto"/>
          <w:sz w:val="24"/>
          <w:szCs w:val="24"/>
          <w:highlight w:val="none"/>
        </w:rPr>
        <w:br w:type="page"/>
      </w:r>
    </w:p>
    <w:p>
      <w:pPr>
        <w:pStyle w:val="6"/>
        <w:rPr>
          <w:rFonts w:ascii="仿宋" w:hAnsi="仿宋" w:eastAsia="仿宋" w:cs="仿宋"/>
          <w:color w:val="auto"/>
        </w:rPr>
      </w:pPr>
      <w:bookmarkStart w:id="73" w:name="_Toc11475"/>
      <w:bookmarkStart w:id="74" w:name="_Toc10055"/>
      <w:bookmarkStart w:id="75" w:name="_Toc29373"/>
      <w:bookmarkStart w:id="76" w:name="_Toc32720"/>
      <w:bookmarkStart w:id="77" w:name="_Toc2644"/>
      <w:bookmarkStart w:id="78" w:name="_Toc9203"/>
      <w:bookmarkStart w:id="79" w:name="_Toc13871"/>
      <w:bookmarkStart w:id="80" w:name="_Toc14958"/>
      <w:bookmarkStart w:id="81" w:name="_Toc16062"/>
      <w:bookmarkStart w:id="82" w:name="_Toc28456"/>
      <w:bookmarkStart w:id="83" w:name="_Toc5274"/>
      <w:r>
        <w:rPr>
          <w:rStyle w:val="118"/>
          <w:rFonts w:ascii="仿宋" w:hAnsi="仿宋" w:eastAsia="仿宋" w:cs="仿宋"/>
          <w:b/>
          <w:color w:val="auto"/>
          <w:sz w:val="24"/>
          <w:szCs w:val="24"/>
          <w:highlight w:val="none"/>
        </w:rPr>
        <w:t>格式</w:t>
      </w:r>
      <w:bookmarkEnd w:id="73"/>
      <w:r>
        <w:rPr>
          <w:rStyle w:val="118"/>
          <w:rFonts w:hint="eastAsia" w:ascii="仿宋" w:hAnsi="仿宋" w:cs="仿宋"/>
          <w:b/>
          <w:color w:val="auto"/>
          <w:sz w:val="24"/>
          <w:szCs w:val="24"/>
          <w:highlight w:val="none"/>
          <w:lang w:val="en-US" w:eastAsia="zh-CN"/>
        </w:rPr>
        <w:t>2-3</w:t>
      </w:r>
      <w:r>
        <w:rPr>
          <w:rFonts w:hint="eastAsia" w:ascii="仿宋" w:hAnsi="仿宋" w:cs="仿宋"/>
          <w:b/>
          <w:bCs/>
          <w:color w:val="auto"/>
          <w:sz w:val="24"/>
          <w:szCs w:val="24"/>
          <w:highlight w:val="none"/>
          <w:lang w:val="en-US" w:eastAsia="zh-CN"/>
        </w:rPr>
        <w:t>:</w:t>
      </w:r>
      <w:bookmarkEnd w:id="74"/>
      <w:bookmarkEnd w:id="75"/>
      <w:bookmarkEnd w:id="76"/>
      <w:bookmarkEnd w:id="77"/>
      <w:bookmarkEnd w:id="78"/>
      <w:bookmarkEnd w:id="79"/>
      <w:bookmarkEnd w:id="80"/>
      <w:bookmarkEnd w:id="81"/>
      <w:bookmarkEnd w:id="82"/>
      <w:bookmarkEnd w:id="83"/>
      <w:r>
        <w:rPr>
          <w:rFonts w:hint="eastAsia" w:ascii="仿宋" w:hAnsi="仿宋" w:eastAsia="仿宋" w:cs="仿宋"/>
          <w:b/>
          <w:bCs/>
          <w:color w:val="auto"/>
          <w:spacing w:val="-2"/>
          <w:sz w:val="24"/>
          <w:szCs w:val="24"/>
          <w:highlight w:val="none"/>
          <w:lang w:eastAsia="zh-CN"/>
        </w:rPr>
        <w:t>商务服务应答表</w:t>
      </w:r>
    </w:p>
    <w:p>
      <w:pPr>
        <w:jc w:val="center"/>
        <w:outlineLvl w:val="9"/>
        <w:rPr>
          <w:rFonts w:hint="eastAsia" w:ascii="仿宋" w:hAnsi="仿宋" w:eastAsia="仿宋" w:cs="仿宋"/>
          <w:b/>
          <w:bCs/>
          <w:color w:val="auto"/>
          <w:spacing w:val="-2"/>
          <w:sz w:val="36"/>
          <w:szCs w:val="36"/>
          <w:lang w:eastAsia="zh-CN"/>
        </w:rPr>
      </w:pPr>
      <w:r>
        <w:rPr>
          <w:rFonts w:hint="eastAsia" w:ascii="仿宋" w:hAnsi="仿宋" w:eastAsia="仿宋" w:cs="仿宋"/>
          <w:b/>
          <w:bCs/>
          <w:color w:val="auto"/>
          <w:spacing w:val="-2"/>
          <w:sz w:val="36"/>
          <w:szCs w:val="36"/>
          <w:lang w:eastAsia="zh-CN"/>
        </w:rPr>
        <w:t>商务服务应答表</w:t>
      </w:r>
    </w:p>
    <w:p>
      <w:pPr>
        <w:pStyle w:val="12"/>
        <w:jc w:val="center"/>
        <w:rPr>
          <w:rFonts w:hint="default" w:ascii="Times New Roman" w:hAnsi="Times New Roman" w:eastAsia="宋体" w:cs="Times New Roman"/>
          <w:color w:val="auto"/>
          <w:sz w:val="18"/>
          <w:lang w:eastAsia="zh-CN"/>
        </w:rPr>
      </w:pPr>
    </w:p>
    <w:p>
      <w:pPr>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pPr>
        <w:pStyle w:val="20"/>
        <w:pBdr>
          <w:bottom w:val="none" w:color="auto" w:sz="0" w:space="0"/>
        </w:pBdr>
        <w:tabs>
          <w:tab w:val="clear" w:pos="4153"/>
          <w:tab w:val="clear" w:pos="8306"/>
        </w:tabs>
        <w:spacing w:line="360" w:lineRule="auto"/>
        <w:ind w:firstLine="480" w:firstLineChars="200"/>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6"/>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2115"/>
        <w:gridCol w:w="2881"/>
        <w:gridCol w:w="2411"/>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942"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2115"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2881" w:type="dxa"/>
            <w:vAlign w:val="center"/>
          </w:tcPr>
          <w:p>
            <w:pPr>
              <w:snapToGrid w:val="0"/>
              <w:jc w:val="center"/>
              <w:rPr>
                <w:rFonts w:hint="eastAsia" w:ascii="仿宋" w:hAnsi="仿宋" w:eastAsia="仿宋" w:cs="仿宋"/>
                <w:color w:val="auto"/>
                <w:sz w:val="24"/>
              </w:rPr>
            </w:pPr>
            <w:r>
              <w:rPr>
                <w:rFonts w:hint="eastAsia" w:ascii="仿宋" w:hAnsi="仿宋" w:eastAsia="仿宋" w:cs="仿宋"/>
                <w:color w:val="auto"/>
                <w:sz w:val="24"/>
              </w:rPr>
              <w:t>谈判文件的商务条款</w:t>
            </w:r>
          </w:p>
          <w:p>
            <w:pPr>
              <w:snapToGrid w:val="0"/>
              <w:jc w:val="center"/>
              <w:rPr>
                <w:rFonts w:ascii="仿宋" w:hAnsi="仿宋" w:eastAsia="仿宋" w:cs="仿宋"/>
                <w:color w:val="auto"/>
                <w:sz w:val="24"/>
              </w:rPr>
            </w:pPr>
            <w:r>
              <w:rPr>
                <w:rFonts w:hint="eastAsia" w:ascii="仿宋" w:hAnsi="仿宋" w:eastAsia="仿宋" w:cs="仿宋"/>
                <w:color w:val="auto"/>
                <w:sz w:val="24"/>
                <w:lang w:eastAsia="zh-CN"/>
              </w:rPr>
              <w:t>（详见谈判文件第五章）</w:t>
            </w:r>
          </w:p>
        </w:tc>
        <w:tc>
          <w:tcPr>
            <w:tcW w:w="2411" w:type="dxa"/>
            <w:vAlign w:val="center"/>
          </w:tcPr>
          <w:p>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供应商对谈判</w:t>
            </w:r>
            <w:r>
              <w:rPr>
                <w:rFonts w:hint="eastAsia" w:ascii="仿宋" w:hAnsi="仿宋" w:eastAsia="仿宋" w:cs="仿宋"/>
                <w:color w:val="auto"/>
                <w:sz w:val="24"/>
              </w:rPr>
              <w:t>文件的商务条款</w:t>
            </w:r>
            <w:r>
              <w:rPr>
                <w:rFonts w:hint="eastAsia" w:ascii="仿宋" w:hAnsi="仿宋" w:eastAsia="仿宋" w:cs="仿宋"/>
                <w:color w:val="auto"/>
                <w:sz w:val="24"/>
                <w:lang w:eastAsia="zh-CN"/>
              </w:rPr>
              <w:t>响应情况</w:t>
            </w:r>
          </w:p>
        </w:tc>
        <w:tc>
          <w:tcPr>
            <w:tcW w:w="1311"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lang w:eastAsia="zh-CN"/>
              </w:rPr>
              <w:t>应答情况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pPr>
              <w:snapToGrid w:val="0"/>
              <w:spacing w:line="360" w:lineRule="auto"/>
              <w:jc w:val="center"/>
              <w:rPr>
                <w:rFonts w:ascii="仿宋" w:hAnsi="仿宋" w:eastAsia="仿宋" w:cs="仿宋"/>
                <w:color w:val="auto"/>
                <w:sz w:val="24"/>
              </w:rPr>
            </w:pPr>
          </w:p>
        </w:tc>
        <w:tc>
          <w:tcPr>
            <w:tcW w:w="2115" w:type="dxa"/>
            <w:vAlign w:val="center"/>
          </w:tcPr>
          <w:p>
            <w:pPr>
              <w:snapToGrid w:val="0"/>
              <w:spacing w:line="360" w:lineRule="auto"/>
              <w:jc w:val="center"/>
              <w:rPr>
                <w:rFonts w:ascii="仿宋" w:hAnsi="仿宋" w:eastAsia="仿宋" w:cs="仿宋"/>
                <w:color w:val="auto"/>
                <w:sz w:val="24"/>
              </w:rPr>
            </w:pPr>
          </w:p>
        </w:tc>
        <w:tc>
          <w:tcPr>
            <w:tcW w:w="2881" w:type="dxa"/>
            <w:vAlign w:val="center"/>
          </w:tcPr>
          <w:p>
            <w:pPr>
              <w:snapToGrid w:val="0"/>
              <w:spacing w:line="360" w:lineRule="auto"/>
              <w:jc w:val="center"/>
              <w:rPr>
                <w:rFonts w:ascii="仿宋" w:hAnsi="仿宋" w:eastAsia="仿宋" w:cs="仿宋"/>
                <w:color w:val="auto"/>
                <w:sz w:val="24"/>
              </w:rPr>
            </w:pPr>
          </w:p>
        </w:tc>
        <w:tc>
          <w:tcPr>
            <w:tcW w:w="2411" w:type="dxa"/>
            <w:vAlign w:val="center"/>
          </w:tcPr>
          <w:p>
            <w:pPr>
              <w:snapToGrid w:val="0"/>
              <w:spacing w:line="360" w:lineRule="auto"/>
              <w:ind w:left="317" w:hanging="316" w:hangingChars="132"/>
              <w:jc w:val="center"/>
              <w:rPr>
                <w:rFonts w:ascii="仿宋" w:hAnsi="仿宋" w:eastAsia="仿宋" w:cs="仿宋"/>
                <w:color w:val="auto"/>
                <w:sz w:val="24"/>
              </w:rPr>
            </w:pPr>
          </w:p>
        </w:tc>
        <w:tc>
          <w:tcPr>
            <w:tcW w:w="1311" w:type="dxa"/>
            <w:vAlign w:val="center"/>
          </w:tcPr>
          <w:p>
            <w:pPr>
              <w:snapToGrid w:val="0"/>
              <w:spacing w:line="360" w:lineRule="auto"/>
              <w:ind w:left="317" w:hanging="316" w:hangingChars="132"/>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pPr>
              <w:snapToGrid w:val="0"/>
              <w:spacing w:line="360" w:lineRule="auto"/>
              <w:jc w:val="center"/>
              <w:rPr>
                <w:rFonts w:ascii="仿宋" w:hAnsi="仿宋" w:eastAsia="仿宋" w:cs="仿宋"/>
                <w:color w:val="auto"/>
                <w:sz w:val="24"/>
              </w:rPr>
            </w:pPr>
          </w:p>
        </w:tc>
        <w:tc>
          <w:tcPr>
            <w:tcW w:w="2115" w:type="dxa"/>
            <w:vAlign w:val="center"/>
          </w:tcPr>
          <w:p>
            <w:pPr>
              <w:snapToGrid w:val="0"/>
              <w:spacing w:line="360" w:lineRule="auto"/>
              <w:jc w:val="center"/>
              <w:rPr>
                <w:rFonts w:ascii="仿宋" w:hAnsi="仿宋" w:eastAsia="仿宋" w:cs="仿宋"/>
                <w:color w:val="auto"/>
                <w:sz w:val="24"/>
              </w:rPr>
            </w:pPr>
          </w:p>
        </w:tc>
        <w:tc>
          <w:tcPr>
            <w:tcW w:w="2881" w:type="dxa"/>
            <w:vAlign w:val="center"/>
          </w:tcPr>
          <w:p>
            <w:pPr>
              <w:snapToGrid w:val="0"/>
              <w:spacing w:line="360" w:lineRule="auto"/>
              <w:jc w:val="center"/>
              <w:rPr>
                <w:rFonts w:ascii="仿宋" w:hAnsi="仿宋" w:eastAsia="仿宋" w:cs="仿宋"/>
                <w:color w:val="auto"/>
                <w:sz w:val="24"/>
              </w:rPr>
            </w:pPr>
          </w:p>
        </w:tc>
        <w:tc>
          <w:tcPr>
            <w:tcW w:w="2411" w:type="dxa"/>
            <w:vAlign w:val="center"/>
          </w:tcPr>
          <w:p>
            <w:pPr>
              <w:snapToGrid w:val="0"/>
              <w:spacing w:line="360" w:lineRule="auto"/>
              <w:jc w:val="center"/>
              <w:rPr>
                <w:rFonts w:ascii="仿宋" w:hAnsi="仿宋" w:eastAsia="仿宋" w:cs="仿宋"/>
                <w:color w:val="auto"/>
                <w:sz w:val="24"/>
              </w:rPr>
            </w:pPr>
          </w:p>
        </w:tc>
        <w:tc>
          <w:tcPr>
            <w:tcW w:w="1311" w:type="dxa"/>
            <w:vAlign w:val="center"/>
          </w:tcPr>
          <w:p>
            <w:pPr>
              <w:snapToGrid w:val="0"/>
              <w:spacing w:line="360" w:lineRule="auto"/>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pPr>
              <w:snapToGrid w:val="0"/>
              <w:spacing w:line="360" w:lineRule="auto"/>
              <w:jc w:val="center"/>
              <w:rPr>
                <w:rFonts w:ascii="仿宋" w:hAnsi="仿宋" w:eastAsia="仿宋" w:cs="仿宋"/>
                <w:color w:val="auto"/>
                <w:sz w:val="24"/>
              </w:rPr>
            </w:pPr>
          </w:p>
        </w:tc>
        <w:tc>
          <w:tcPr>
            <w:tcW w:w="2115" w:type="dxa"/>
            <w:vAlign w:val="center"/>
          </w:tcPr>
          <w:p>
            <w:pPr>
              <w:snapToGrid w:val="0"/>
              <w:spacing w:line="360" w:lineRule="auto"/>
              <w:jc w:val="center"/>
              <w:rPr>
                <w:rFonts w:ascii="仿宋" w:hAnsi="仿宋" w:eastAsia="仿宋" w:cs="仿宋"/>
                <w:color w:val="auto"/>
                <w:sz w:val="24"/>
              </w:rPr>
            </w:pPr>
          </w:p>
        </w:tc>
        <w:tc>
          <w:tcPr>
            <w:tcW w:w="2881" w:type="dxa"/>
            <w:vAlign w:val="center"/>
          </w:tcPr>
          <w:p>
            <w:pPr>
              <w:snapToGrid w:val="0"/>
              <w:spacing w:line="360" w:lineRule="auto"/>
              <w:jc w:val="center"/>
              <w:rPr>
                <w:rFonts w:ascii="仿宋" w:hAnsi="仿宋" w:eastAsia="仿宋" w:cs="仿宋"/>
                <w:color w:val="auto"/>
                <w:sz w:val="24"/>
              </w:rPr>
            </w:pPr>
          </w:p>
        </w:tc>
        <w:tc>
          <w:tcPr>
            <w:tcW w:w="2411" w:type="dxa"/>
            <w:vAlign w:val="center"/>
          </w:tcPr>
          <w:p>
            <w:pPr>
              <w:snapToGrid w:val="0"/>
              <w:spacing w:line="360" w:lineRule="auto"/>
              <w:jc w:val="center"/>
              <w:rPr>
                <w:rFonts w:ascii="仿宋" w:hAnsi="仿宋" w:eastAsia="仿宋" w:cs="仿宋"/>
                <w:color w:val="auto"/>
                <w:sz w:val="24"/>
              </w:rPr>
            </w:pPr>
          </w:p>
        </w:tc>
        <w:tc>
          <w:tcPr>
            <w:tcW w:w="1311" w:type="dxa"/>
            <w:vAlign w:val="center"/>
          </w:tcPr>
          <w:p>
            <w:pPr>
              <w:snapToGrid w:val="0"/>
              <w:spacing w:line="360" w:lineRule="auto"/>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942" w:type="dxa"/>
            <w:vAlign w:val="center"/>
          </w:tcPr>
          <w:p>
            <w:pPr>
              <w:snapToGrid w:val="0"/>
              <w:spacing w:line="360" w:lineRule="auto"/>
              <w:jc w:val="center"/>
              <w:rPr>
                <w:rFonts w:ascii="仿宋" w:hAnsi="仿宋" w:eastAsia="仿宋" w:cs="仿宋"/>
                <w:color w:val="auto"/>
                <w:sz w:val="24"/>
              </w:rPr>
            </w:pPr>
          </w:p>
        </w:tc>
        <w:tc>
          <w:tcPr>
            <w:tcW w:w="2115" w:type="dxa"/>
            <w:vAlign w:val="center"/>
          </w:tcPr>
          <w:p>
            <w:pPr>
              <w:snapToGrid w:val="0"/>
              <w:spacing w:line="360" w:lineRule="auto"/>
              <w:jc w:val="center"/>
              <w:rPr>
                <w:rFonts w:ascii="仿宋" w:hAnsi="仿宋" w:eastAsia="仿宋" w:cs="仿宋"/>
                <w:color w:val="auto"/>
                <w:sz w:val="24"/>
              </w:rPr>
            </w:pPr>
          </w:p>
        </w:tc>
        <w:tc>
          <w:tcPr>
            <w:tcW w:w="2881" w:type="dxa"/>
            <w:vAlign w:val="center"/>
          </w:tcPr>
          <w:p>
            <w:pPr>
              <w:snapToGrid w:val="0"/>
              <w:spacing w:line="360" w:lineRule="auto"/>
              <w:jc w:val="center"/>
              <w:rPr>
                <w:rFonts w:ascii="仿宋" w:hAnsi="仿宋" w:eastAsia="仿宋" w:cs="仿宋"/>
                <w:color w:val="auto"/>
                <w:sz w:val="24"/>
              </w:rPr>
            </w:pPr>
          </w:p>
        </w:tc>
        <w:tc>
          <w:tcPr>
            <w:tcW w:w="2411" w:type="dxa"/>
            <w:vAlign w:val="center"/>
          </w:tcPr>
          <w:p>
            <w:pPr>
              <w:snapToGrid w:val="0"/>
              <w:spacing w:line="360" w:lineRule="auto"/>
              <w:jc w:val="center"/>
              <w:rPr>
                <w:rFonts w:ascii="仿宋" w:hAnsi="仿宋" w:eastAsia="仿宋" w:cs="仿宋"/>
                <w:color w:val="auto"/>
                <w:sz w:val="24"/>
              </w:rPr>
            </w:pPr>
          </w:p>
        </w:tc>
        <w:tc>
          <w:tcPr>
            <w:tcW w:w="1311" w:type="dxa"/>
            <w:vAlign w:val="center"/>
          </w:tcPr>
          <w:p>
            <w:pPr>
              <w:snapToGrid w:val="0"/>
              <w:spacing w:line="360" w:lineRule="auto"/>
              <w:jc w:val="center"/>
              <w:rPr>
                <w:rFonts w:ascii="仿宋" w:hAnsi="仿宋" w:eastAsia="仿宋" w:cs="仿宋"/>
                <w:color w:val="auto"/>
                <w:sz w:val="24"/>
              </w:rPr>
            </w:pPr>
          </w:p>
        </w:tc>
      </w:tr>
    </w:tbl>
    <w:p>
      <w:pPr>
        <w:snapToGrid w:val="0"/>
        <w:spacing w:line="360" w:lineRule="auto"/>
        <w:ind w:left="480" w:hanging="480" w:hangingChars="200"/>
        <w:rPr>
          <w:rFonts w:ascii="仿宋" w:hAnsi="仿宋" w:eastAsia="仿宋" w:cs="仿宋"/>
          <w:bCs/>
          <w:color w:val="auto"/>
          <w:sz w:val="24"/>
        </w:rPr>
      </w:pPr>
    </w:p>
    <w:p>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w:t>
      </w:r>
      <w:r>
        <w:rPr>
          <w:rFonts w:hint="eastAsia" w:ascii="仿宋" w:hAnsi="仿宋" w:eastAsia="仿宋" w:cs="仿宋"/>
          <w:bCs/>
          <w:color w:val="auto"/>
          <w:sz w:val="24"/>
          <w:lang w:val="en-US" w:eastAsia="zh-CN"/>
        </w:rPr>
        <w:t>.</w:t>
      </w:r>
      <w:r>
        <w:rPr>
          <w:rFonts w:hint="eastAsia" w:ascii="仿宋" w:hAnsi="仿宋" w:eastAsia="仿宋" w:cs="仿宋"/>
          <w:color w:val="000000"/>
          <w:sz w:val="24"/>
          <w:highlight w:val="none"/>
          <w:lang w:val="zh-CN"/>
        </w:rPr>
        <w:t>供应商应当按照采购文件第五章</w:t>
      </w:r>
      <w:r>
        <w:rPr>
          <w:rFonts w:hint="eastAsia" w:ascii="仿宋" w:hAnsi="仿宋" w:eastAsia="仿宋" w:cs="仿宋"/>
          <w:color w:val="000000"/>
          <w:sz w:val="24"/>
          <w:highlight w:val="none"/>
          <w:lang w:val="en-US" w:eastAsia="zh-CN"/>
        </w:rPr>
        <w:t>“商务要求”逐条进行应答</w:t>
      </w:r>
      <w:r>
        <w:rPr>
          <w:rFonts w:hint="eastAsia" w:ascii="仿宋" w:hAnsi="仿宋" w:eastAsia="仿宋" w:cs="仿宋"/>
          <w:bCs/>
          <w:color w:val="auto"/>
          <w:sz w:val="24"/>
        </w:rPr>
        <w:t>。</w:t>
      </w:r>
    </w:p>
    <w:p>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按照谈</w:t>
      </w:r>
      <w:r>
        <w:rPr>
          <w:rFonts w:hint="eastAsia" w:ascii="仿宋" w:hAnsi="仿宋" w:eastAsia="仿宋" w:cs="仿宋"/>
          <w:bCs/>
          <w:color w:val="000000" w:themeColor="text1"/>
          <w:sz w:val="24"/>
          <w14:textFill>
            <w14:solidFill>
              <w14:schemeClr w14:val="tx1"/>
            </w14:solidFill>
          </w14:textFill>
        </w:rPr>
        <w:t>判</w:t>
      </w:r>
      <w:r>
        <w:rPr>
          <w:rFonts w:hint="eastAsia" w:ascii="仿宋" w:hAnsi="仿宋" w:eastAsia="仿宋" w:cs="仿宋"/>
          <w:bCs/>
          <w:color w:val="000000" w:themeColor="text1"/>
          <w:sz w:val="24"/>
          <w:lang w:eastAsia="zh-CN"/>
          <w14:textFill>
            <w14:solidFill>
              <w14:schemeClr w14:val="tx1"/>
            </w14:solidFill>
          </w14:textFill>
        </w:rPr>
        <w:t>文件</w:t>
      </w:r>
      <w:r>
        <w:rPr>
          <w:rFonts w:hint="eastAsia" w:ascii="仿宋" w:hAnsi="仿宋" w:eastAsia="仿宋" w:cs="仿宋"/>
          <w:bCs/>
          <w:color w:val="000000" w:themeColor="text1"/>
          <w:sz w:val="24"/>
          <w14:textFill>
            <w14:solidFill>
              <w14:schemeClr w14:val="tx1"/>
            </w14:solidFill>
          </w14:textFill>
        </w:rPr>
        <w:t>商</w:t>
      </w:r>
      <w:r>
        <w:rPr>
          <w:rFonts w:hint="eastAsia" w:ascii="仿宋" w:hAnsi="仿宋" w:eastAsia="仿宋" w:cs="仿宋"/>
          <w:bCs/>
          <w:color w:val="auto"/>
          <w:sz w:val="24"/>
        </w:rPr>
        <w:t>务要求的顺序对应填写。</w:t>
      </w:r>
    </w:p>
    <w:p>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供应商必须据实填写，不得虚假填写，否则将取消其谈判或成交资格。</w:t>
      </w:r>
    </w:p>
    <w:p>
      <w:pPr>
        <w:snapToGrid w:val="0"/>
        <w:spacing w:line="360" w:lineRule="auto"/>
        <w:ind w:firstLine="480" w:firstLineChars="200"/>
        <w:rPr>
          <w:rFonts w:ascii="仿宋" w:hAnsi="仿宋" w:eastAsia="仿宋" w:cs="仿宋"/>
          <w:bCs/>
          <w:color w:val="auto"/>
          <w:sz w:val="24"/>
        </w:rPr>
      </w:pP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pP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pPr>
        <w:pStyle w:val="6"/>
        <w:jc w:val="both"/>
        <w:rPr>
          <w:rFonts w:ascii="仿宋" w:hAnsi="仿宋" w:eastAsia="仿宋" w:cs="仿宋"/>
          <w:color w:val="auto"/>
          <w:sz w:val="36"/>
          <w:szCs w:val="36"/>
        </w:rPr>
      </w:pPr>
      <w:r>
        <w:rPr>
          <w:rFonts w:hint="eastAsia" w:ascii="仿宋" w:hAnsi="仿宋" w:eastAsia="仿宋" w:cs="仿宋"/>
          <w:b/>
          <w:bCs/>
          <w:color w:val="auto"/>
          <w:sz w:val="24"/>
          <w:szCs w:val="24"/>
          <w:highlight w:val="none"/>
        </w:rPr>
        <w:t>格式</w:t>
      </w:r>
      <w:r>
        <w:rPr>
          <w:rFonts w:hint="eastAsia" w:ascii="仿宋" w:hAnsi="仿宋" w:cs="仿宋"/>
          <w:b/>
          <w:bCs/>
          <w:color w:val="auto"/>
          <w:sz w:val="24"/>
          <w:szCs w:val="24"/>
          <w:highlight w:val="none"/>
          <w:lang w:val="en-US" w:eastAsia="zh-CN"/>
        </w:rPr>
        <w:t>2-4:</w:t>
      </w:r>
      <w:r>
        <w:rPr>
          <w:rFonts w:hint="eastAsia" w:ascii="仿宋" w:hAnsi="仿宋" w:eastAsia="仿宋" w:cs="仿宋"/>
          <w:b/>
          <w:bCs/>
          <w:color w:val="auto"/>
          <w:spacing w:val="-2"/>
          <w:sz w:val="24"/>
          <w:szCs w:val="24"/>
          <w:highlight w:val="none"/>
        </w:rPr>
        <w:t>拟派入本项目的主要实施人员情况表</w:t>
      </w:r>
    </w:p>
    <w:p>
      <w:pPr>
        <w:jc w:val="center"/>
        <w:outlineLvl w:val="9"/>
        <w:rPr>
          <w:rFonts w:hint="eastAsia" w:ascii="仿宋" w:hAnsi="仿宋" w:eastAsia="仿宋" w:cs="仿宋"/>
          <w:b/>
          <w:bCs/>
          <w:color w:val="auto"/>
          <w:sz w:val="36"/>
          <w:szCs w:val="36"/>
        </w:rPr>
      </w:pPr>
      <w:r>
        <w:rPr>
          <w:rFonts w:hint="eastAsia" w:ascii="仿宋" w:hAnsi="仿宋" w:eastAsia="仿宋" w:cs="仿宋"/>
          <w:b/>
          <w:bCs/>
          <w:color w:val="auto"/>
          <w:sz w:val="36"/>
          <w:szCs w:val="36"/>
        </w:rPr>
        <w:t>拟派入本项目的主要实施人员情况表</w:t>
      </w:r>
    </w:p>
    <w:p>
      <w:pPr>
        <w:pStyle w:val="12"/>
        <w:jc w:val="center"/>
        <w:rPr>
          <w:rFonts w:hint="eastAsia" w:ascii="仿宋" w:hAnsi="仿宋" w:eastAsia="仿宋" w:cs="仿宋"/>
          <w:b/>
          <w:bCs/>
          <w:color w:val="auto"/>
          <w:sz w:val="36"/>
          <w:szCs w:val="36"/>
        </w:rPr>
      </w:pPr>
    </w:p>
    <w:p>
      <w:pPr>
        <w:jc w:val="center"/>
        <w:rPr>
          <w:rFonts w:hint="default" w:ascii="Times New Roman" w:hAnsi="Times New Roman" w:eastAsia="宋体" w:cs="Times New Roman"/>
          <w:color w:val="auto"/>
          <w:sz w:val="21"/>
          <w:szCs w:val="24"/>
        </w:rPr>
      </w:pPr>
    </w:p>
    <w:tbl>
      <w:tblPr>
        <w:tblStyle w:val="26"/>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1053"/>
        <w:gridCol w:w="1155"/>
        <w:gridCol w:w="1155"/>
        <w:gridCol w:w="944"/>
        <w:gridCol w:w="1684"/>
        <w:gridCol w:w="1359"/>
        <w:gridCol w:w="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54" w:type="dxa"/>
            <w:gridSpan w:val="8"/>
            <w:noWrap w:val="0"/>
            <w:vAlign w:val="center"/>
          </w:tcPr>
          <w:p>
            <w:pPr>
              <w:spacing w:line="240" w:lineRule="auto"/>
              <w:ind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项目管理机构组成表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restart"/>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职务</w:t>
            </w:r>
          </w:p>
        </w:tc>
        <w:tc>
          <w:tcPr>
            <w:tcW w:w="1053" w:type="dxa"/>
            <w:vMerge w:val="restart"/>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155" w:type="dxa"/>
            <w:vMerge w:val="restart"/>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5988" w:type="dxa"/>
            <w:gridSpan w:val="5"/>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执业或职业资格证明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continue"/>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053" w:type="dxa"/>
            <w:vMerge w:val="continue"/>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vMerge w:val="continue"/>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证书名称</w:t>
            </w:r>
          </w:p>
        </w:tc>
        <w:tc>
          <w:tcPr>
            <w:tcW w:w="944" w:type="dxa"/>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级别</w:t>
            </w:r>
          </w:p>
        </w:tc>
        <w:tc>
          <w:tcPr>
            <w:tcW w:w="1684" w:type="dxa"/>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证号</w:t>
            </w:r>
          </w:p>
        </w:tc>
        <w:tc>
          <w:tcPr>
            <w:tcW w:w="1359" w:type="dxa"/>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846" w:type="dxa"/>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pPr>
              <w:spacing w:line="240" w:lineRule="auto"/>
              <w:jc w:val="center"/>
              <w:rPr>
                <w:rFonts w:hint="eastAsia" w:ascii="仿宋" w:hAnsi="仿宋" w:eastAsia="仿宋" w:cs="仿宋"/>
                <w:color w:val="auto"/>
                <w:sz w:val="24"/>
                <w:highlight w:val="none"/>
              </w:rPr>
            </w:pPr>
          </w:p>
        </w:tc>
        <w:tc>
          <w:tcPr>
            <w:tcW w:w="1053"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pPr>
              <w:spacing w:line="240" w:lineRule="auto"/>
              <w:jc w:val="center"/>
              <w:rPr>
                <w:rFonts w:hint="eastAsia" w:ascii="仿宋" w:hAnsi="仿宋" w:eastAsia="仿宋" w:cs="仿宋"/>
                <w:color w:val="auto"/>
                <w:sz w:val="24"/>
                <w:highlight w:val="none"/>
              </w:rPr>
            </w:pPr>
          </w:p>
        </w:tc>
        <w:tc>
          <w:tcPr>
            <w:tcW w:w="1053"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pPr>
              <w:spacing w:line="240" w:lineRule="auto"/>
              <w:jc w:val="center"/>
              <w:rPr>
                <w:rFonts w:hint="eastAsia" w:ascii="仿宋" w:hAnsi="仿宋" w:eastAsia="仿宋" w:cs="仿宋"/>
                <w:color w:val="auto"/>
                <w:sz w:val="24"/>
                <w:highlight w:val="none"/>
              </w:rPr>
            </w:pPr>
          </w:p>
        </w:tc>
        <w:tc>
          <w:tcPr>
            <w:tcW w:w="1053"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pPr>
              <w:spacing w:line="240" w:lineRule="auto"/>
              <w:jc w:val="center"/>
              <w:rPr>
                <w:rFonts w:hint="eastAsia" w:ascii="仿宋" w:hAnsi="仿宋" w:eastAsia="仿宋" w:cs="仿宋"/>
                <w:color w:val="auto"/>
                <w:sz w:val="24"/>
                <w:highlight w:val="none"/>
              </w:rPr>
            </w:pPr>
          </w:p>
        </w:tc>
        <w:tc>
          <w:tcPr>
            <w:tcW w:w="1053"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pPr>
              <w:spacing w:line="240" w:lineRule="auto"/>
              <w:jc w:val="center"/>
              <w:rPr>
                <w:rFonts w:hint="eastAsia" w:ascii="仿宋" w:hAnsi="仿宋" w:eastAsia="仿宋" w:cs="仿宋"/>
                <w:color w:val="auto"/>
                <w:sz w:val="24"/>
                <w:highlight w:val="none"/>
              </w:rPr>
            </w:pPr>
          </w:p>
        </w:tc>
        <w:tc>
          <w:tcPr>
            <w:tcW w:w="1053"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pPr>
              <w:spacing w:line="240" w:lineRule="auto"/>
              <w:jc w:val="center"/>
              <w:rPr>
                <w:rFonts w:hint="eastAsia" w:ascii="仿宋" w:hAnsi="仿宋" w:eastAsia="仿宋" w:cs="仿宋"/>
                <w:color w:val="auto"/>
                <w:sz w:val="24"/>
                <w:highlight w:val="none"/>
              </w:rPr>
            </w:pPr>
          </w:p>
        </w:tc>
        <w:tc>
          <w:tcPr>
            <w:tcW w:w="1053"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053"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pPr>
              <w:spacing w:line="240" w:lineRule="auto"/>
              <w:ind w:firstLine="480" w:firstLineChars="200"/>
              <w:jc w:val="center"/>
              <w:rPr>
                <w:rFonts w:hint="eastAsia" w:ascii="仿宋" w:hAnsi="仿宋" w:eastAsia="仿宋" w:cs="仿宋"/>
                <w:color w:val="auto"/>
                <w:sz w:val="24"/>
                <w:highlight w:val="none"/>
              </w:rPr>
            </w:pPr>
          </w:p>
        </w:tc>
      </w:tr>
    </w:tbl>
    <w:p>
      <w:pPr>
        <w:snapToGrid w:val="0"/>
        <w:spacing w:line="360" w:lineRule="auto"/>
        <w:ind w:firstLine="480" w:firstLineChars="200"/>
        <w:rPr>
          <w:rFonts w:ascii="仿宋" w:hAnsi="仿宋" w:eastAsia="仿宋" w:cs="仿宋"/>
          <w:color w:val="auto"/>
          <w:sz w:val="24"/>
        </w:rPr>
      </w:pPr>
    </w:p>
    <w:p>
      <w:pPr>
        <w:snapToGrid w:val="0"/>
        <w:spacing w:line="360" w:lineRule="auto"/>
        <w:jc w:val="left"/>
        <w:rPr>
          <w:rFonts w:ascii="仿宋" w:hAnsi="仿宋" w:eastAsia="仿宋" w:cs="仿宋"/>
          <w:color w:val="auto"/>
          <w:sz w:val="24"/>
        </w:rPr>
      </w:pPr>
      <w:r>
        <w:rPr>
          <w:rFonts w:hint="eastAsia" w:ascii="仿宋" w:hAnsi="仿宋" w:eastAsia="仿宋" w:cs="仿宋"/>
          <w:color w:val="auto"/>
          <w:sz w:val="24"/>
        </w:rPr>
        <w:t>说明：本表为供应商拟投入本项目的相关人员情况，请供应商如实填写，“级别、证号、专业”等栏，拟派人员具有的才填，无则不填。若上表中拟派人员取得了相关资格证书（指：职业资格证书、专业技术职称证书、执业资格证书）的，请提供相应人员的证件资料</w:t>
      </w:r>
      <w:r>
        <w:rPr>
          <w:rFonts w:hint="eastAsia" w:ascii="仿宋" w:hAnsi="仿宋" w:eastAsia="仿宋" w:cs="仿宋"/>
          <w:color w:val="auto"/>
          <w:sz w:val="24"/>
          <w:lang w:eastAsia="zh-CN"/>
        </w:rPr>
        <w:t>影印件</w:t>
      </w:r>
      <w:r>
        <w:rPr>
          <w:rFonts w:hint="eastAsia" w:ascii="仿宋" w:hAnsi="仿宋" w:eastAsia="仿宋" w:cs="仿宋"/>
          <w:color w:val="auto"/>
          <w:sz w:val="24"/>
        </w:rPr>
        <w:t>附在表后。</w:t>
      </w:r>
    </w:p>
    <w:p>
      <w:pPr>
        <w:snapToGrid w:val="0"/>
        <w:spacing w:line="360" w:lineRule="auto"/>
        <w:ind w:firstLine="480" w:firstLineChars="200"/>
        <w:rPr>
          <w:rFonts w:ascii="仿宋" w:hAnsi="仿宋" w:eastAsia="仿宋" w:cs="仿宋"/>
          <w:color w:val="auto"/>
          <w:sz w:val="24"/>
        </w:rPr>
      </w:pPr>
    </w:p>
    <w:p>
      <w:pPr>
        <w:snapToGrid w:val="0"/>
        <w:spacing w:line="360" w:lineRule="auto"/>
        <w:ind w:firstLine="480" w:firstLineChars="200"/>
        <w:rPr>
          <w:rFonts w:ascii="仿宋" w:hAnsi="仿宋" w:eastAsia="仿宋" w:cs="仿宋"/>
          <w:bCs/>
          <w:color w:val="auto"/>
          <w:sz w:val="24"/>
        </w:rPr>
      </w:pPr>
      <w:bookmarkStart w:id="84" w:name="_Toc9098_WPSOffice_Level2"/>
      <w:bookmarkStart w:id="85" w:name="_Toc7155"/>
      <w:bookmarkStart w:id="86" w:name="_Toc22168"/>
      <w:r>
        <w:rPr>
          <w:rFonts w:hint="eastAsia" w:ascii="仿宋" w:hAnsi="仿宋" w:eastAsia="仿宋" w:cs="仿宋"/>
          <w:bCs/>
          <w:color w:val="auto"/>
          <w:sz w:val="24"/>
        </w:rPr>
        <w:t xml:space="preserve">供应商名称（盖章）： </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pPr>
        <w:pStyle w:val="23"/>
        <w:spacing w:before="0" w:after="0" w:line="360" w:lineRule="auto"/>
        <w:ind w:firstLine="480" w:firstLineChars="200"/>
        <w:rPr>
          <w:rFonts w:ascii="仿宋" w:hAnsi="仿宋" w:eastAsia="仿宋" w:cs="仿宋"/>
          <w:color w:val="auto"/>
          <w:kern w:val="2"/>
        </w:rPr>
      </w:pPr>
      <w:r>
        <w:rPr>
          <w:rFonts w:hint="eastAsia" w:ascii="仿宋" w:hAnsi="仿宋" w:eastAsia="仿宋" w:cs="仿宋"/>
          <w:bCs/>
          <w:color w:val="auto"/>
        </w:rPr>
        <w:t>日   期:</w:t>
      </w:r>
    </w:p>
    <w:p>
      <w:pPr>
        <w:rPr>
          <w:rFonts w:ascii="仿宋" w:hAnsi="仿宋" w:eastAsia="仿宋" w:cs="仿宋"/>
          <w:color w:val="auto"/>
        </w:rPr>
      </w:pPr>
      <w:r>
        <w:rPr>
          <w:rFonts w:hint="eastAsia" w:ascii="仿宋" w:hAnsi="仿宋" w:eastAsia="仿宋" w:cs="仿宋"/>
          <w:color w:val="auto"/>
        </w:rPr>
        <w:br w:type="page"/>
      </w:r>
    </w:p>
    <w:bookmarkEnd w:id="84"/>
    <w:bookmarkEnd w:id="85"/>
    <w:bookmarkEnd w:id="86"/>
    <w:p>
      <w:pPr>
        <w:snapToGrid/>
        <w:spacing w:line="240" w:lineRule="auto"/>
        <w:ind w:firstLine="0" w:firstLineChars="0"/>
        <w:outlineLvl w:val="2"/>
        <w:rPr>
          <w:rFonts w:hint="eastAsia" w:ascii="仿宋" w:hAnsi="仿宋" w:eastAsia="仿宋" w:cs="仿宋"/>
          <w:b/>
          <w:bCs/>
          <w:color w:val="auto"/>
          <w:spacing w:val="-2"/>
          <w:kern w:val="0"/>
          <w:sz w:val="24"/>
          <w:szCs w:val="24"/>
          <w:highlight w:val="none"/>
          <w:lang w:val="en-US" w:eastAsia="zh-CN" w:bidi="ar-SA"/>
        </w:rPr>
      </w:pPr>
      <w:bookmarkStart w:id="87" w:name="_Toc23168"/>
      <w:bookmarkStart w:id="88" w:name="_Toc32408"/>
      <w:bookmarkStart w:id="89" w:name="_Toc10907_WPSOffice_Level2"/>
      <w:bookmarkStart w:id="90" w:name="_Toc5095"/>
      <w:bookmarkStart w:id="91" w:name="_Toc1227"/>
      <w:bookmarkStart w:id="92" w:name="_Toc22748"/>
      <w:bookmarkStart w:id="93" w:name="_Toc226877196"/>
      <w:bookmarkStart w:id="94" w:name="_Toc18047"/>
      <w:bookmarkStart w:id="95" w:name="_Toc27414"/>
      <w:bookmarkStart w:id="96" w:name="_Toc32510"/>
      <w:bookmarkStart w:id="97" w:name="_Toc12168"/>
      <w:bookmarkStart w:id="98" w:name="_Toc32367"/>
      <w:bookmarkStart w:id="99" w:name="_Toc3253"/>
      <w:r>
        <w:rPr>
          <w:rFonts w:hint="eastAsia" w:ascii="仿宋" w:hAnsi="仿宋" w:eastAsia="仿宋" w:cs="仿宋"/>
          <w:b/>
          <w:bCs/>
          <w:color w:val="auto"/>
          <w:spacing w:val="-2"/>
          <w:kern w:val="0"/>
          <w:sz w:val="24"/>
          <w:szCs w:val="24"/>
          <w:highlight w:val="none"/>
          <w:lang w:val="en-US" w:eastAsia="zh-CN" w:bidi="ar-SA"/>
        </w:rPr>
        <w:t>格式2-5</w:t>
      </w:r>
      <w:r>
        <w:rPr>
          <w:rFonts w:hint="eastAsia" w:ascii="仿宋" w:hAnsi="仿宋" w:cs="仿宋"/>
          <w:b/>
          <w:bCs/>
          <w:color w:val="auto"/>
          <w:sz w:val="24"/>
        </w:rPr>
        <w:t>:</w:t>
      </w:r>
      <w:r>
        <w:rPr>
          <w:rFonts w:hint="eastAsia" w:ascii="仿宋" w:hAnsi="仿宋" w:eastAsia="仿宋" w:cs="仿宋"/>
          <w:b/>
          <w:bCs/>
          <w:color w:val="auto"/>
          <w:spacing w:val="-2"/>
          <w:kern w:val="0"/>
          <w:sz w:val="24"/>
          <w:szCs w:val="24"/>
          <w:highlight w:val="none"/>
          <w:lang w:val="en-US" w:eastAsia="zh-CN" w:bidi="ar-SA"/>
        </w:rPr>
        <w:t>项目实施及售后服务方案</w:t>
      </w:r>
    </w:p>
    <w:p>
      <w:pPr>
        <w:snapToGrid w:val="0"/>
        <w:spacing w:line="360" w:lineRule="auto"/>
        <w:ind w:firstLine="474" w:firstLineChars="200"/>
        <w:rPr>
          <w:rFonts w:hint="eastAsia" w:ascii="仿宋" w:hAnsi="仿宋" w:eastAsia="仿宋" w:cs="仿宋"/>
          <w:b/>
          <w:bCs/>
          <w:color w:val="auto"/>
          <w:spacing w:val="-2"/>
          <w:kern w:val="0"/>
          <w:sz w:val="24"/>
          <w:szCs w:val="24"/>
          <w:highlight w:val="none"/>
          <w:lang w:val="en-US" w:eastAsia="zh-CN" w:bidi="ar-SA"/>
        </w:rPr>
      </w:pPr>
    </w:p>
    <w:p>
      <w:pPr>
        <w:jc w:val="center"/>
        <w:outlineLvl w:val="9"/>
        <w:rPr>
          <w:rFonts w:ascii="仿宋" w:hAnsi="仿宋" w:eastAsia="仿宋" w:cs="仿宋"/>
          <w:color w:val="auto"/>
          <w:spacing w:val="-2"/>
          <w:sz w:val="36"/>
          <w:szCs w:val="36"/>
        </w:rPr>
      </w:pPr>
      <w:bookmarkStart w:id="100" w:name="_Toc14948"/>
      <w:bookmarkStart w:id="101" w:name="_Toc31522"/>
      <w:r>
        <w:rPr>
          <w:rFonts w:hint="eastAsia" w:ascii="仿宋" w:hAnsi="仿宋" w:eastAsia="仿宋" w:cs="仿宋"/>
          <w:b/>
          <w:bCs/>
          <w:color w:val="000000"/>
          <w:spacing w:val="-2"/>
          <w:sz w:val="36"/>
          <w:szCs w:val="36"/>
          <w:highlight w:val="none"/>
        </w:rPr>
        <w:t>项目实施及售后服务方案</w:t>
      </w:r>
      <w:bookmarkEnd w:id="100"/>
      <w:bookmarkEnd w:id="101"/>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项目编号：</w:t>
      </w:r>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jc w:val="center"/>
        <w:rPr>
          <w:rFonts w:ascii="仿宋" w:hAnsi="仿宋" w:eastAsia="仿宋" w:cs="仿宋"/>
          <w:color w:val="auto"/>
          <w:sz w:val="24"/>
        </w:rPr>
      </w:pPr>
    </w:p>
    <w:p>
      <w:pPr>
        <w:snapToGrid w:val="0"/>
        <w:spacing w:line="360" w:lineRule="auto"/>
        <w:ind w:left="0" w:leftChars="0" w:firstLine="0" w:firstLineChars="0"/>
        <w:jc w:val="center"/>
        <w:rPr>
          <w:rFonts w:ascii="仿宋" w:hAnsi="仿宋" w:eastAsia="仿宋" w:cs="仿宋"/>
          <w:color w:val="auto"/>
          <w:sz w:val="24"/>
        </w:rPr>
      </w:pPr>
      <w:r>
        <w:rPr>
          <w:rFonts w:hint="eastAsia" w:ascii="仿宋" w:hAnsi="仿宋" w:eastAsia="仿宋" w:cs="仿宋"/>
          <w:color w:val="auto"/>
          <w:sz w:val="24"/>
        </w:rPr>
        <w:t>（由供应商自行编写，格式不限）</w:t>
      </w:r>
    </w:p>
    <w:p>
      <w:pPr>
        <w:snapToGrid w:val="0"/>
        <w:spacing w:line="360" w:lineRule="auto"/>
        <w:jc w:val="center"/>
        <w:rPr>
          <w:rFonts w:ascii="仿宋" w:hAnsi="仿宋" w:eastAsia="仿宋" w:cs="仿宋"/>
          <w:color w:val="auto"/>
          <w:sz w:val="24"/>
        </w:rPr>
      </w:pPr>
    </w:p>
    <w:p>
      <w:pPr>
        <w:snapToGrid w:val="0"/>
        <w:spacing w:line="360" w:lineRule="auto"/>
        <w:jc w:val="center"/>
        <w:rPr>
          <w:rFonts w:ascii="仿宋" w:hAnsi="仿宋" w:eastAsia="仿宋" w:cs="仿宋"/>
          <w:color w:val="auto"/>
          <w:sz w:val="24"/>
        </w:rPr>
      </w:pPr>
    </w:p>
    <w:p>
      <w:pPr>
        <w:snapToGrid w:val="0"/>
        <w:spacing w:line="360" w:lineRule="auto"/>
        <w:jc w:val="center"/>
        <w:rPr>
          <w:rFonts w:ascii="仿宋" w:hAnsi="仿宋" w:eastAsia="仿宋" w:cs="仿宋"/>
          <w:color w:val="auto"/>
          <w:sz w:val="24"/>
        </w:rPr>
      </w:pPr>
    </w:p>
    <w:p>
      <w:pPr>
        <w:snapToGrid w:val="0"/>
        <w:spacing w:line="360" w:lineRule="auto"/>
        <w:jc w:val="center"/>
        <w:rPr>
          <w:rFonts w:ascii="仿宋" w:hAnsi="仿宋" w:eastAsia="仿宋" w:cs="仿宋"/>
          <w:color w:val="auto"/>
          <w:sz w:val="24"/>
        </w:rPr>
      </w:pPr>
    </w:p>
    <w:p>
      <w:pPr>
        <w:snapToGrid w:val="0"/>
        <w:spacing w:line="360" w:lineRule="auto"/>
        <w:jc w:val="center"/>
        <w:rPr>
          <w:rFonts w:ascii="仿宋" w:hAnsi="仿宋" w:eastAsia="仿宋" w:cs="仿宋"/>
          <w:color w:val="auto"/>
          <w:sz w:val="24"/>
        </w:rPr>
      </w:pP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法定代表人或授权代表（签字）：</w:t>
      </w:r>
    </w:p>
    <w:p>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日    期:</w:t>
      </w:r>
    </w:p>
    <w:p>
      <w:pPr>
        <w:rPr>
          <w:rFonts w:hint="eastAsia" w:ascii="仿宋" w:hAnsi="仿宋" w:eastAsia="仿宋" w:cs="仿宋"/>
          <w:bCs/>
          <w:color w:val="auto"/>
        </w:rPr>
      </w:pPr>
      <w:r>
        <w:rPr>
          <w:rFonts w:hint="eastAsia" w:ascii="仿宋" w:hAnsi="仿宋" w:eastAsia="仿宋" w:cs="仿宋"/>
          <w:bCs/>
          <w:color w:val="auto"/>
        </w:rPr>
        <w:br w:type="page"/>
      </w:r>
    </w:p>
    <w:bookmarkEnd w:id="87"/>
    <w:bookmarkEnd w:id="88"/>
    <w:bookmarkEnd w:id="89"/>
    <w:bookmarkEnd w:id="90"/>
    <w:bookmarkEnd w:id="91"/>
    <w:bookmarkEnd w:id="92"/>
    <w:bookmarkEnd w:id="93"/>
    <w:bookmarkEnd w:id="94"/>
    <w:bookmarkEnd w:id="95"/>
    <w:bookmarkEnd w:id="96"/>
    <w:bookmarkEnd w:id="97"/>
    <w:bookmarkEnd w:id="98"/>
    <w:bookmarkEnd w:id="99"/>
    <w:p>
      <w:pPr>
        <w:pStyle w:val="12"/>
        <w:keepNext w:val="0"/>
        <w:keepLines w:val="0"/>
        <w:pageBreakBefore w:val="0"/>
        <w:widowControl w:val="0"/>
        <w:kinsoku/>
        <w:wordWrap/>
        <w:overflowPunct/>
        <w:topLinePunct w:val="0"/>
        <w:autoSpaceDE/>
        <w:autoSpaceDN/>
        <w:bidi w:val="0"/>
        <w:adjustRightInd/>
        <w:snapToGrid/>
        <w:spacing w:line="480" w:lineRule="auto"/>
        <w:textAlignment w:val="auto"/>
        <w:outlineLvl w:val="2"/>
        <w:rPr>
          <w:rFonts w:hint="default" w:ascii="仿宋" w:hAnsi="仿宋" w:eastAsia="仿宋" w:cs="仿宋"/>
          <w:b/>
          <w:color w:val="auto"/>
          <w:sz w:val="36"/>
          <w:szCs w:val="36"/>
          <w:highlight w:val="none"/>
          <w:lang w:val="en-US" w:eastAsia="zh-CN"/>
        </w:rPr>
      </w:pPr>
      <w:r>
        <w:rPr>
          <w:rFonts w:hint="eastAsia" w:ascii="仿宋" w:hAnsi="仿宋" w:eastAsia="仿宋" w:cs="仿宋"/>
          <w:b/>
          <w:color w:val="auto"/>
          <w:sz w:val="24"/>
          <w:szCs w:val="24"/>
          <w:highlight w:val="none"/>
          <w:lang w:eastAsia="zh-CN"/>
        </w:rPr>
        <w:t>格式</w:t>
      </w:r>
      <w:r>
        <w:rPr>
          <w:rFonts w:hint="eastAsia" w:ascii="仿宋" w:hAnsi="仿宋" w:eastAsia="仿宋" w:cs="仿宋"/>
          <w:b/>
          <w:color w:val="auto"/>
          <w:sz w:val="24"/>
          <w:szCs w:val="24"/>
          <w:highlight w:val="none"/>
          <w:lang w:val="en-US" w:eastAsia="zh-CN"/>
        </w:rPr>
        <w:t>2-6</w:t>
      </w:r>
      <w:r>
        <w:rPr>
          <w:rFonts w:hint="eastAsia" w:ascii="仿宋" w:hAnsi="仿宋" w:cs="仿宋"/>
          <w:b/>
          <w:bCs/>
          <w:color w:val="auto"/>
          <w:sz w:val="24"/>
        </w:rPr>
        <w:t>:</w:t>
      </w:r>
      <w:r>
        <w:rPr>
          <w:rFonts w:hint="eastAsia" w:ascii="仿宋" w:hAnsi="仿宋" w:eastAsia="仿宋" w:cs="仿宋"/>
          <w:b/>
          <w:bCs/>
          <w:color w:val="auto"/>
          <w:spacing w:val="-2"/>
          <w:sz w:val="24"/>
          <w:szCs w:val="24"/>
          <w:highlight w:val="none"/>
        </w:rPr>
        <w:t>供应商基本情况表</w:t>
      </w:r>
      <w:bookmarkEnd w:id="70"/>
      <w:bookmarkEnd w:id="71"/>
      <w:bookmarkEnd w:id="72"/>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 w:hAnsi="仿宋" w:eastAsia="仿宋" w:cs="仿宋"/>
          <w:b/>
          <w:bCs/>
          <w:color w:val="auto"/>
          <w:spacing w:val="-2"/>
          <w:sz w:val="36"/>
          <w:szCs w:val="36"/>
        </w:rPr>
      </w:pPr>
      <w:r>
        <w:rPr>
          <w:rFonts w:hint="eastAsia" w:ascii="仿宋" w:hAnsi="仿宋" w:eastAsia="仿宋" w:cs="仿宋"/>
          <w:b/>
          <w:bCs/>
          <w:color w:val="auto"/>
          <w:spacing w:val="-2"/>
          <w:sz w:val="36"/>
          <w:szCs w:val="36"/>
        </w:rPr>
        <w:t>供应商基本情况表</w:t>
      </w:r>
    </w:p>
    <w:p>
      <w:pPr>
        <w:autoSpaceDE w:val="0"/>
        <w:autoSpaceDN w:val="0"/>
        <w:snapToGrid w:val="0"/>
        <w:spacing w:line="360" w:lineRule="auto"/>
        <w:jc w:val="center"/>
        <w:rPr>
          <w:rFonts w:ascii="仿宋" w:hAnsi="仿宋" w:eastAsia="仿宋" w:cs="仿宋"/>
          <w:color w:val="auto"/>
          <w:sz w:val="20"/>
        </w:rPr>
      </w:pPr>
    </w:p>
    <w:tbl>
      <w:tblPr>
        <w:tblStyle w:val="26"/>
        <w:tblW w:w="9398"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74"/>
        <w:gridCol w:w="783"/>
        <w:gridCol w:w="337"/>
        <w:gridCol w:w="797"/>
        <w:gridCol w:w="952"/>
        <w:gridCol w:w="383"/>
        <w:gridCol w:w="1553"/>
        <w:gridCol w:w="60"/>
        <w:gridCol w:w="1127"/>
        <w:gridCol w:w="1732"/>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55"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供应商名称</w:t>
            </w:r>
          </w:p>
        </w:tc>
        <w:tc>
          <w:tcPr>
            <w:tcW w:w="7724" w:type="dxa"/>
            <w:gridSpan w:val="9"/>
            <w:vAlign w:val="center"/>
          </w:tcPr>
          <w:p>
            <w:pPr>
              <w:autoSpaceDE w:val="0"/>
              <w:autoSpaceDN w:val="0"/>
              <w:snapToGrid w:val="0"/>
              <w:jc w:val="center"/>
              <w:rPr>
                <w:rFonts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22"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注册地址</w:t>
            </w:r>
          </w:p>
        </w:tc>
        <w:tc>
          <w:tcPr>
            <w:tcW w:w="3252" w:type="dxa"/>
            <w:gridSpan w:val="5"/>
            <w:vAlign w:val="center"/>
          </w:tcPr>
          <w:p>
            <w:pPr>
              <w:autoSpaceDE w:val="0"/>
              <w:autoSpaceDN w:val="0"/>
              <w:snapToGrid w:val="0"/>
              <w:jc w:val="center"/>
              <w:rPr>
                <w:rFonts w:ascii="仿宋" w:hAnsi="仿宋" w:eastAsia="仿宋" w:cs="仿宋"/>
                <w:color w:val="auto"/>
                <w:sz w:val="24"/>
              </w:rPr>
            </w:pPr>
          </w:p>
        </w:tc>
        <w:tc>
          <w:tcPr>
            <w:tcW w:w="1553"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邮政编码</w:t>
            </w:r>
          </w:p>
        </w:tc>
        <w:tc>
          <w:tcPr>
            <w:tcW w:w="2919" w:type="dxa"/>
            <w:gridSpan w:val="3"/>
            <w:vAlign w:val="center"/>
          </w:tcPr>
          <w:p>
            <w:pPr>
              <w:autoSpaceDE w:val="0"/>
              <w:autoSpaceDN w:val="0"/>
              <w:snapToGrid w:val="0"/>
              <w:jc w:val="center"/>
              <w:rPr>
                <w:rFonts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Merge w:val="restart"/>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联系方式</w:t>
            </w:r>
          </w:p>
        </w:tc>
        <w:tc>
          <w:tcPr>
            <w:tcW w:w="1120"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联系人</w:t>
            </w:r>
          </w:p>
        </w:tc>
        <w:tc>
          <w:tcPr>
            <w:tcW w:w="2132" w:type="dxa"/>
            <w:gridSpan w:val="3"/>
            <w:vAlign w:val="center"/>
          </w:tcPr>
          <w:p>
            <w:pPr>
              <w:autoSpaceDE w:val="0"/>
              <w:autoSpaceDN w:val="0"/>
              <w:snapToGrid w:val="0"/>
              <w:jc w:val="center"/>
              <w:rPr>
                <w:rFonts w:ascii="仿宋" w:hAnsi="仿宋" w:eastAsia="仿宋" w:cs="仿宋"/>
                <w:color w:val="auto"/>
                <w:sz w:val="24"/>
              </w:rPr>
            </w:pPr>
          </w:p>
        </w:tc>
        <w:tc>
          <w:tcPr>
            <w:tcW w:w="1553"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2919" w:type="dxa"/>
            <w:gridSpan w:val="3"/>
            <w:vAlign w:val="center"/>
          </w:tcPr>
          <w:p>
            <w:pPr>
              <w:autoSpaceDE w:val="0"/>
              <w:autoSpaceDN w:val="0"/>
              <w:snapToGrid w:val="0"/>
              <w:jc w:val="center"/>
              <w:rPr>
                <w:rFonts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1674" w:type="dxa"/>
            <w:vMerge w:val="continue"/>
            <w:vAlign w:val="center"/>
          </w:tcPr>
          <w:p>
            <w:pPr>
              <w:autoSpaceDE w:val="0"/>
              <w:autoSpaceDN w:val="0"/>
              <w:snapToGrid w:val="0"/>
              <w:jc w:val="center"/>
              <w:rPr>
                <w:rFonts w:ascii="仿宋" w:hAnsi="仿宋" w:eastAsia="仿宋" w:cs="仿宋"/>
                <w:color w:val="auto"/>
                <w:sz w:val="24"/>
              </w:rPr>
            </w:pPr>
          </w:p>
        </w:tc>
        <w:tc>
          <w:tcPr>
            <w:tcW w:w="1120"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传真</w:t>
            </w:r>
          </w:p>
        </w:tc>
        <w:tc>
          <w:tcPr>
            <w:tcW w:w="2132" w:type="dxa"/>
            <w:gridSpan w:val="3"/>
            <w:vAlign w:val="center"/>
          </w:tcPr>
          <w:p>
            <w:pPr>
              <w:autoSpaceDE w:val="0"/>
              <w:autoSpaceDN w:val="0"/>
              <w:snapToGrid w:val="0"/>
              <w:jc w:val="center"/>
              <w:rPr>
                <w:rFonts w:ascii="仿宋" w:hAnsi="仿宋" w:eastAsia="仿宋" w:cs="仿宋"/>
                <w:color w:val="auto"/>
                <w:sz w:val="24"/>
              </w:rPr>
            </w:pPr>
          </w:p>
        </w:tc>
        <w:tc>
          <w:tcPr>
            <w:tcW w:w="1553"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网址</w:t>
            </w:r>
          </w:p>
        </w:tc>
        <w:tc>
          <w:tcPr>
            <w:tcW w:w="2919" w:type="dxa"/>
            <w:gridSpan w:val="3"/>
            <w:vAlign w:val="center"/>
          </w:tcPr>
          <w:p>
            <w:pPr>
              <w:autoSpaceDE w:val="0"/>
              <w:autoSpaceDN w:val="0"/>
              <w:snapToGrid w:val="0"/>
              <w:jc w:val="center"/>
              <w:rPr>
                <w:rFonts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01"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组织结构</w:t>
            </w:r>
          </w:p>
        </w:tc>
        <w:tc>
          <w:tcPr>
            <w:tcW w:w="7724" w:type="dxa"/>
            <w:gridSpan w:val="9"/>
            <w:vAlign w:val="center"/>
          </w:tcPr>
          <w:p>
            <w:pPr>
              <w:autoSpaceDE w:val="0"/>
              <w:autoSpaceDN w:val="0"/>
              <w:snapToGrid w:val="0"/>
              <w:jc w:val="center"/>
              <w:rPr>
                <w:rFonts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法定代表人</w:t>
            </w:r>
          </w:p>
        </w:tc>
        <w:tc>
          <w:tcPr>
            <w:tcW w:w="783"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pPr>
              <w:autoSpaceDE w:val="0"/>
              <w:autoSpaceDN w:val="0"/>
              <w:snapToGrid w:val="0"/>
              <w:jc w:val="center"/>
              <w:rPr>
                <w:rFonts w:ascii="仿宋" w:hAnsi="仿宋" w:eastAsia="仿宋" w:cs="仿宋"/>
                <w:color w:val="auto"/>
                <w:sz w:val="24"/>
              </w:rPr>
            </w:pPr>
          </w:p>
        </w:tc>
        <w:tc>
          <w:tcPr>
            <w:tcW w:w="1335"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pPr>
              <w:autoSpaceDE w:val="0"/>
              <w:autoSpaceDN w:val="0"/>
              <w:snapToGrid w:val="0"/>
              <w:jc w:val="center"/>
              <w:rPr>
                <w:rFonts w:ascii="仿宋" w:hAnsi="仿宋" w:eastAsia="仿宋" w:cs="仿宋"/>
                <w:color w:val="auto"/>
                <w:sz w:val="24"/>
              </w:rPr>
            </w:pPr>
          </w:p>
        </w:tc>
        <w:tc>
          <w:tcPr>
            <w:tcW w:w="1187"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技术负责人</w:t>
            </w:r>
          </w:p>
        </w:tc>
        <w:tc>
          <w:tcPr>
            <w:tcW w:w="783"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pPr>
              <w:autoSpaceDE w:val="0"/>
              <w:autoSpaceDN w:val="0"/>
              <w:snapToGrid w:val="0"/>
              <w:jc w:val="center"/>
              <w:rPr>
                <w:rFonts w:ascii="仿宋" w:hAnsi="仿宋" w:eastAsia="仿宋" w:cs="仿宋"/>
                <w:color w:val="auto"/>
                <w:sz w:val="24"/>
              </w:rPr>
            </w:pPr>
          </w:p>
        </w:tc>
        <w:tc>
          <w:tcPr>
            <w:tcW w:w="1335"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pPr>
              <w:autoSpaceDE w:val="0"/>
              <w:autoSpaceDN w:val="0"/>
              <w:snapToGrid w:val="0"/>
              <w:jc w:val="center"/>
              <w:rPr>
                <w:rFonts w:ascii="仿宋" w:hAnsi="仿宋" w:eastAsia="仿宋" w:cs="仿宋"/>
                <w:color w:val="auto"/>
                <w:sz w:val="24"/>
              </w:rPr>
            </w:pPr>
          </w:p>
        </w:tc>
        <w:tc>
          <w:tcPr>
            <w:tcW w:w="1187"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3"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成立时间</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5807" w:type="dxa"/>
            <w:gridSpan w:val="6"/>
            <w:vAlign w:val="center"/>
          </w:tcPr>
          <w:p>
            <w:pPr>
              <w:autoSpaceDE w:val="0"/>
              <w:autoSpaceDN w:val="0"/>
              <w:snapToGrid w:val="0"/>
              <w:rPr>
                <w:rFonts w:ascii="仿宋" w:hAnsi="仿宋" w:eastAsia="仿宋" w:cs="仿宋"/>
                <w:color w:val="auto"/>
                <w:sz w:val="24"/>
              </w:rPr>
            </w:pPr>
            <w:r>
              <w:rPr>
                <w:rFonts w:hint="eastAsia" w:ascii="仿宋" w:hAnsi="仿宋" w:eastAsia="仿宋" w:cs="仿宋"/>
                <w:color w:val="auto"/>
                <w:sz w:val="24"/>
              </w:rPr>
              <w:t>　　员工总人数：</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82"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企业资质</w:t>
            </w:r>
          </w:p>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等级</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952" w:type="dxa"/>
            <w:vMerge w:val="restart"/>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其中</w:t>
            </w:r>
          </w:p>
        </w:tc>
        <w:tc>
          <w:tcPr>
            <w:tcW w:w="1996" w:type="dxa"/>
            <w:gridSpan w:val="3"/>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项目经理</w:t>
            </w:r>
          </w:p>
        </w:tc>
        <w:tc>
          <w:tcPr>
            <w:tcW w:w="2859" w:type="dxa"/>
            <w:gridSpan w:val="2"/>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营业执照号</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952" w:type="dxa"/>
            <w:vMerge w:val="continue"/>
            <w:vAlign w:val="center"/>
          </w:tcPr>
          <w:p>
            <w:pPr>
              <w:autoSpaceDE w:val="0"/>
              <w:autoSpaceDN w:val="0"/>
              <w:snapToGrid w:val="0"/>
              <w:jc w:val="center"/>
              <w:rPr>
                <w:rFonts w:ascii="仿宋" w:hAnsi="仿宋" w:eastAsia="仿宋" w:cs="仿宋"/>
                <w:color w:val="auto"/>
                <w:sz w:val="24"/>
              </w:rPr>
            </w:pPr>
          </w:p>
        </w:tc>
        <w:tc>
          <w:tcPr>
            <w:tcW w:w="1996" w:type="dxa"/>
            <w:gridSpan w:val="3"/>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高级职称人员</w:t>
            </w:r>
          </w:p>
        </w:tc>
        <w:tc>
          <w:tcPr>
            <w:tcW w:w="2859" w:type="dxa"/>
            <w:gridSpan w:val="2"/>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注册资金</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952" w:type="dxa"/>
            <w:vMerge w:val="continue"/>
            <w:vAlign w:val="center"/>
          </w:tcPr>
          <w:p>
            <w:pPr>
              <w:autoSpaceDE w:val="0"/>
              <w:autoSpaceDN w:val="0"/>
              <w:snapToGrid w:val="0"/>
              <w:jc w:val="center"/>
              <w:rPr>
                <w:rFonts w:ascii="仿宋" w:hAnsi="仿宋" w:eastAsia="仿宋" w:cs="仿宋"/>
                <w:color w:val="auto"/>
                <w:sz w:val="24"/>
              </w:rPr>
            </w:pPr>
          </w:p>
        </w:tc>
        <w:tc>
          <w:tcPr>
            <w:tcW w:w="1996" w:type="dxa"/>
            <w:gridSpan w:val="3"/>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中级职称人员</w:t>
            </w:r>
          </w:p>
        </w:tc>
        <w:tc>
          <w:tcPr>
            <w:tcW w:w="2859" w:type="dxa"/>
            <w:gridSpan w:val="2"/>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开户银行</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952" w:type="dxa"/>
            <w:vMerge w:val="continue"/>
            <w:vAlign w:val="center"/>
          </w:tcPr>
          <w:p>
            <w:pPr>
              <w:autoSpaceDE w:val="0"/>
              <w:autoSpaceDN w:val="0"/>
              <w:snapToGrid w:val="0"/>
              <w:jc w:val="center"/>
              <w:rPr>
                <w:rFonts w:ascii="仿宋" w:hAnsi="仿宋" w:eastAsia="仿宋" w:cs="仿宋"/>
                <w:color w:val="auto"/>
                <w:sz w:val="24"/>
              </w:rPr>
            </w:pPr>
          </w:p>
        </w:tc>
        <w:tc>
          <w:tcPr>
            <w:tcW w:w="1996" w:type="dxa"/>
            <w:gridSpan w:val="3"/>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初级职称人员</w:t>
            </w:r>
          </w:p>
        </w:tc>
        <w:tc>
          <w:tcPr>
            <w:tcW w:w="2859" w:type="dxa"/>
            <w:gridSpan w:val="2"/>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61"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账号</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952" w:type="dxa"/>
            <w:vMerge w:val="continue"/>
            <w:vAlign w:val="center"/>
          </w:tcPr>
          <w:p>
            <w:pPr>
              <w:autoSpaceDE w:val="0"/>
              <w:autoSpaceDN w:val="0"/>
              <w:snapToGrid w:val="0"/>
              <w:jc w:val="center"/>
              <w:rPr>
                <w:rFonts w:ascii="仿宋" w:hAnsi="仿宋" w:eastAsia="仿宋" w:cs="仿宋"/>
                <w:color w:val="auto"/>
                <w:sz w:val="24"/>
              </w:rPr>
            </w:pPr>
          </w:p>
        </w:tc>
        <w:tc>
          <w:tcPr>
            <w:tcW w:w="1996" w:type="dxa"/>
            <w:gridSpan w:val="3"/>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技工</w:t>
            </w:r>
          </w:p>
        </w:tc>
        <w:tc>
          <w:tcPr>
            <w:tcW w:w="2859" w:type="dxa"/>
            <w:gridSpan w:val="2"/>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94"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经营范围</w:t>
            </w:r>
          </w:p>
        </w:tc>
        <w:tc>
          <w:tcPr>
            <w:tcW w:w="7724" w:type="dxa"/>
            <w:gridSpan w:val="9"/>
            <w:vAlign w:val="center"/>
          </w:tcPr>
          <w:p>
            <w:pPr>
              <w:autoSpaceDE w:val="0"/>
              <w:autoSpaceDN w:val="0"/>
              <w:snapToGrid w:val="0"/>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241"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备注</w:t>
            </w:r>
          </w:p>
        </w:tc>
        <w:tc>
          <w:tcPr>
            <w:tcW w:w="7724" w:type="dxa"/>
            <w:gridSpan w:val="9"/>
          </w:tcPr>
          <w:p>
            <w:pPr>
              <w:autoSpaceDE w:val="0"/>
              <w:autoSpaceDN w:val="0"/>
              <w:snapToGrid w:val="0"/>
              <w:jc w:val="left"/>
              <w:rPr>
                <w:rFonts w:ascii="仿宋" w:hAnsi="仿宋" w:eastAsia="仿宋" w:cs="仿宋"/>
                <w:color w:val="auto"/>
                <w:sz w:val="24"/>
              </w:rPr>
            </w:pPr>
          </w:p>
        </w:tc>
      </w:tr>
    </w:tbl>
    <w:p>
      <w:pPr>
        <w:snapToGrid w:val="0"/>
        <w:spacing w:line="360" w:lineRule="auto"/>
        <w:rPr>
          <w:rFonts w:ascii="仿宋" w:hAnsi="仿宋" w:eastAsia="仿宋" w:cs="仿宋"/>
          <w:b/>
          <w:color w:val="auto"/>
          <w:sz w:val="24"/>
        </w:rPr>
      </w:pP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法定代表人或授权代表（签字）：</w:t>
      </w:r>
    </w:p>
    <w:p>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p>
    <w:p>
      <w:pPr>
        <w:outlineLvl w:val="2"/>
        <w:rPr>
          <w:rFonts w:hint="eastAsia" w:ascii="仿宋" w:hAnsi="仿宋" w:eastAsia="仿宋" w:cs="仿宋"/>
          <w:b/>
          <w:bCs/>
          <w:color w:val="auto"/>
          <w:sz w:val="24"/>
          <w:lang w:eastAsia="zh-CN"/>
        </w:rPr>
      </w:pPr>
      <w:bookmarkStart w:id="102" w:name="_Toc24697"/>
      <w:bookmarkStart w:id="103" w:name="_Toc32072"/>
      <w:bookmarkStart w:id="104" w:name="_Toc20691"/>
      <w:bookmarkStart w:id="105" w:name="_Toc959"/>
      <w:bookmarkStart w:id="106" w:name="_Toc4738"/>
      <w:bookmarkStart w:id="107" w:name="_Toc17041"/>
      <w:bookmarkStart w:id="108" w:name="_Toc9892"/>
      <w:bookmarkStart w:id="109" w:name="_Toc29119"/>
      <w:bookmarkStart w:id="110" w:name="_Toc16554"/>
      <w:bookmarkStart w:id="111" w:name="_Toc32011"/>
      <w:bookmarkStart w:id="112" w:name="_Toc12453"/>
      <w:r>
        <w:rPr>
          <w:rStyle w:val="118"/>
          <w:rFonts w:hint="eastAsia" w:ascii="仿宋" w:hAnsi="仿宋" w:cs="仿宋"/>
          <w:b/>
          <w:color w:val="auto"/>
          <w:sz w:val="24"/>
          <w:szCs w:val="24"/>
          <w:highlight w:val="none"/>
        </w:rPr>
        <w:br w:type="page"/>
      </w: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2-7</w:t>
      </w:r>
      <w:r>
        <w:rPr>
          <w:rFonts w:hint="eastAsia" w:ascii="仿宋" w:hAnsi="仿宋" w:cs="仿宋"/>
          <w:b/>
          <w:bCs/>
          <w:color w:val="auto"/>
          <w:sz w:val="24"/>
        </w:rPr>
        <w:t>:</w:t>
      </w:r>
      <w:r>
        <w:rPr>
          <w:rFonts w:hint="eastAsia" w:ascii="仿宋" w:hAnsi="仿宋" w:eastAsia="仿宋" w:cs="仿宋"/>
          <w:b/>
          <w:bCs/>
          <w:color w:val="auto"/>
          <w:sz w:val="24"/>
          <w:lang w:eastAsia="zh-CN"/>
        </w:rPr>
        <w:t>首轮报价一览表</w:t>
      </w:r>
    </w:p>
    <w:p>
      <w:pPr>
        <w:keepNext w:val="0"/>
        <w:keepLines w:val="0"/>
        <w:pageBreakBefore w:val="0"/>
        <w:widowControl w:val="0"/>
        <w:kinsoku/>
        <w:wordWrap/>
        <w:overflowPunct/>
        <w:topLinePunct w:val="0"/>
        <w:autoSpaceDE/>
        <w:autoSpaceDN/>
        <w:bidi w:val="0"/>
        <w:adjustRightInd/>
        <w:snapToGrid/>
        <w:spacing w:line="240" w:lineRule="auto"/>
        <w:jc w:val="center"/>
        <w:rPr>
          <w:rFonts w:hint="eastAsia" w:ascii="仿宋" w:hAnsi="仿宋" w:eastAsia="仿宋" w:cs="仿宋"/>
          <w:b/>
          <w:bCs/>
          <w:color w:val="auto"/>
          <w:spacing w:val="-2"/>
          <w:sz w:val="36"/>
          <w:szCs w:val="36"/>
          <w:highlight w:val="none"/>
        </w:rPr>
      </w:pPr>
      <w:r>
        <w:rPr>
          <w:rFonts w:hint="eastAsia" w:ascii="仿宋" w:hAnsi="仿宋" w:eastAsia="仿宋" w:cs="仿宋"/>
          <w:b/>
          <w:bCs/>
          <w:color w:val="auto"/>
          <w:spacing w:val="-2"/>
          <w:sz w:val="36"/>
          <w:szCs w:val="36"/>
          <w:highlight w:val="none"/>
          <w:lang w:eastAsia="zh-CN"/>
        </w:rPr>
        <w:t>首轮报价一览表</w:t>
      </w:r>
    </w:p>
    <w:p>
      <w:pPr>
        <w:keepNext w:val="0"/>
        <w:keepLines w:val="0"/>
        <w:pageBreakBefore w:val="0"/>
        <w:widowControl w:val="0"/>
        <w:kinsoku/>
        <w:wordWrap/>
        <w:overflowPunct/>
        <w:topLinePunct w:val="0"/>
        <w:autoSpaceDE/>
        <w:autoSpaceDN/>
        <w:bidi w:val="0"/>
        <w:adjustRightInd/>
        <w:snapToGrid/>
        <w:spacing w:line="240" w:lineRule="auto"/>
        <w:jc w:val="center"/>
        <w:outlineLvl w:val="9"/>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（实质性要求）</w:t>
      </w:r>
    </w:p>
    <w:p>
      <w:pPr>
        <w:spacing w:after="120" w:line="240" w:lineRule="auto"/>
        <w:jc w:val="both"/>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000000" w:themeColor="text1"/>
          <w:sz w:val="21"/>
          <w:szCs w:val="21"/>
          <w:highlight w:val="none"/>
          <w14:textFill>
            <w14:solidFill>
              <w14:schemeClr w14:val="tx1"/>
            </w14:solidFill>
          </w14:textFill>
        </w:rPr>
        <w:t>项目编号：JRZB-2024-Q066</w:t>
      </w:r>
    </w:p>
    <w:p>
      <w:pPr>
        <w:spacing w:after="120" w:line="240" w:lineRule="auto"/>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项目名称：富顺县中医医院CT袋、DR袋、药袋、黄色医疗垃圾袋等采购项目</w:t>
      </w:r>
    </w:p>
    <w:p>
      <w:pPr>
        <w:pStyle w:val="24"/>
        <w:ind w:left="0" w:leftChars="0" w:firstLine="0" w:firstLineChars="0"/>
        <w:rPr>
          <w:rFonts w:hint="eastAsia" w:ascii="仿宋" w:hAnsi="仿宋" w:eastAsia="仿宋" w:cs="仿宋"/>
        </w:rPr>
      </w:pPr>
    </w:p>
    <w:tbl>
      <w:tblPr>
        <w:tblStyle w:val="26"/>
        <w:tblpPr w:leftFromText="180" w:rightFromText="180" w:vertAnchor="text" w:horzAnchor="margin" w:tblpXSpec="center" w:tblpY="-11"/>
        <w:tblOverlap w:val="never"/>
        <w:tblW w:w="10261" w:type="dxa"/>
        <w:jc w:val="center"/>
        <w:tblLayout w:type="fixed"/>
        <w:tblCellMar>
          <w:top w:w="15" w:type="dxa"/>
          <w:left w:w="15" w:type="dxa"/>
          <w:bottom w:w="15" w:type="dxa"/>
          <w:right w:w="15" w:type="dxa"/>
        </w:tblCellMar>
      </w:tblPr>
      <w:tblGrid>
        <w:gridCol w:w="510"/>
        <w:gridCol w:w="2685"/>
        <w:gridCol w:w="1215"/>
        <w:gridCol w:w="1560"/>
        <w:gridCol w:w="1095"/>
        <w:gridCol w:w="885"/>
        <w:gridCol w:w="1125"/>
        <w:gridCol w:w="1186"/>
      </w:tblGrid>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sz w:val="18"/>
                <w:szCs w:val="18"/>
                <w:highlight w:val="none"/>
                <w:lang w:val="en-US" w:eastAsia="zh-CN"/>
              </w:rPr>
            </w:pPr>
            <w:r>
              <w:rPr>
                <w:rFonts w:hint="eastAsia" w:ascii="仿宋" w:hAnsi="仿宋" w:eastAsia="仿宋" w:cs="仿宋"/>
                <w:b/>
                <w:bCs/>
                <w:i w:val="0"/>
                <w:iCs w:val="0"/>
                <w:color w:val="000000"/>
                <w:kern w:val="0"/>
                <w:sz w:val="18"/>
                <w:szCs w:val="18"/>
                <w:highlight w:val="none"/>
                <w:u w:val="none"/>
                <w:lang w:val="en-US" w:eastAsia="zh-CN" w:bidi="ar"/>
              </w:rPr>
              <w:t>标的号</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b/>
                <w:bCs/>
                <w:i w:val="0"/>
                <w:iCs w:val="0"/>
                <w:color w:val="000000"/>
                <w:kern w:val="0"/>
                <w:sz w:val="18"/>
                <w:szCs w:val="18"/>
                <w:highlight w:val="none"/>
                <w:u w:val="none"/>
                <w:lang w:val="en-US" w:eastAsia="zh-CN" w:bidi="ar"/>
              </w:rPr>
              <w:t>标的名称</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b/>
                <w:bCs/>
                <w:i w:val="0"/>
                <w:iCs w:val="0"/>
                <w:color w:val="000000"/>
                <w:kern w:val="0"/>
                <w:sz w:val="18"/>
                <w:szCs w:val="18"/>
                <w:highlight w:val="none"/>
                <w:u w:val="none"/>
                <w:lang w:val="en-US" w:eastAsia="zh-CN" w:bidi="ar"/>
              </w:rPr>
              <w:t>袋子厚度</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b/>
                <w:bCs/>
                <w:i w:val="0"/>
                <w:iCs w:val="0"/>
                <w:color w:val="000000"/>
                <w:kern w:val="0"/>
                <w:sz w:val="18"/>
                <w:szCs w:val="18"/>
                <w:highlight w:val="none"/>
                <w:u w:val="none"/>
                <w:lang w:val="en-US" w:eastAsia="zh-CN" w:bidi="ar"/>
              </w:rPr>
              <w:t>型号（mm）</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b/>
                <w:bCs/>
                <w:i w:val="0"/>
                <w:iCs w:val="0"/>
                <w:color w:val="000000"/>
                <w:kern w:val="0"/>
                <w:sz w:val="18"/>
                <w:szCs w:val="18"/>
                <w:highlight w:val="none"/>
                <w:u w:val="none"/>
                <w:lang w:val="en-US" w:eastAsia="zh-CN" w:bidi="ar"/>
              </w:rPr>
              <w:t>预计数量</w:t>
            </w:r>
            <w:r>
              <w:rPr>
                <w:rFonts w:hint="eastAsia" w:ascii="仿宋" w:hAnsi="仿宋" w:eastAsia="仿宋" w:cs="仿宋"/>
                <w:b/>
                <w:bCs/>
                <w:i w:val="0"/>
                <w:iCs w:val="0"/>
                <w:color w:val="000000"/>
                <w:kern w:val="0"/>
                <w:sz w:val="18"/>
                <w:szCs w:val="18"/>
                <w:highlight w:val="none"/>
                <w:u w:val="none"/>
                <w:lang w:val="en-US" w:eastAsia="zh-CN" w:bidi="ar"/>
              </w:rPr>
              <w:br w:type="textWrapping"/>
            </w:r>
            <w:r>
              <w:rPr>
                <w:rFonts w:hint="eastAsia" w:ascii="仿宋" w:hAnsi="仿宋" w:eastAsia="仿宋" w:cs="仿宋"/>
                <w:b/>
                <w:bCs/>
                <w:i w:val="0"/>
                <w:iCs w:val="0"/>
                <w:color w:val="000000"/>
                <w:kern w:val="0"/>
                <w:sz w:val="18"/>
                <w:szCs w:val="18"/>
                <w:highlight w:val="none"/>
                <w:u w:val="none"/>
                <w:lang w:val="en-US" w:eastAsia="zh-CN" w:bidi="ar"/>
              </w:rPr>
              <w:t>（份）</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b/>
                <w:bCs/>
                <w:i w:val="0"/>
                <w:iCs w:val="0"/>
                <w:color w:val="000000"/>
                <w:kern w:val="0"/>
                <w:sz w:val="18"/>
                <w:szCs w:val="18"/>
                <w:highlight w:val="none"/>
                <w:u w:val="none"/>
                <w:lang w:val="en-US" w:eastAsia="zh-CN" w:bidi="ar"/>
              </w:rPr>
              <w:t>每份限价</w:t>
            </w:r>
            <w:r>
              <w:rPr>
                <w:rFonts w:hint="eastAsia" w:ascii="仿宋" w:hAnsi="仿宋" w:eastAsia="仿宋" w:cs="仿宋"/>
                <w:b/>
                <w:bCs/>
                <w:i w:val="0"/>
                <w:iCs w:val="0"/>
                <w:color w:val="000000"/>
                <w:kern w:val="0"/>
                <w:sz w:val="18"/>
                <w:szCs w:val="18"/>
                <w:highlight w:val="none"/>
                <w:u w:val="none"/>
                <w:lang w:val="en-US" w:eastAsia="zh-CN" w:bidi="ar"/>
              </w:rPr>
              <w:br w:type="textWrapping"/>
            </w:r>
            <w:r>
              <w:rPr>
                <w:rFonts w:hint="eastAsia" w:ascii="仿宋" w:hAnsi="仿宋" w:eastAsia="仿宋" w:cs="仿宋"/>
                <w:b/>
                <w:bCs/>
                <w:i w:val="0"/>
                <w:iCs w:val="0"/>
                <w:color w:val="000000"/>
                <w:kern w:val="0"/>
                <w:sz w:val="18"/>
                <w:szCs w:val="18"/>
                <w:highlight w:val="none"/>
                <w:u w:val="none"/>
                <w:lang w:val="en-US" w:eastAsia="zh-CN" w:bidi="ar"/>
              </w:rPr>
              <w:t>（元）</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kern w:val="0"/>
                <w:sz w:val="18"/>
                <w:szCs w:val="18"/>
                <w:highlight w:val="none"/>
                <w:u w:val="none"/>
                <w:lang w:val="en-US" w:eastAsia="zh-CN" w:bidi="ar"/>
              </w:rPr>
            </w:pPr>
            <w:r>
              <w:rPr>
                <w:rFonts w:hint="eastAsia" w:ascii="仿宋" w:hAnsi="仿宋" w:eastAsia="仿宋" w:cs="仿宋"/>
                <w:b/>
                <w:bCs/>
                <w:i w:val="0"/>
                <w:iCs w:val="0"/>
                <w:color w:val="000000"/>
                <w:kern w:val="0"/>
                <w:sz w:val="18"/>
                <w:szCs w:val="18"/>
                <w:highlight w:val="none"/>
                <w:u w:val="none"/>
                <w:lang w:val="en-US" w:eastAsia="zh-CN" w:bidi="ar"/>
              </w:rPr>
              <w:t>每份单价</w:t>
            </w:r>
          </w:p>
          <w:p>
            <w:pPr>
              <w:pStyle w:val="12"/>
              <w:keepNext w:val="0"/>
              <w:keepLines w:val="0"/>
              <w:pageBreakBefore w:val="0"/>
              <w:widowControl w:val="0"/>
              <w:kinsoku/>
              <w:wordWrap/>
              <w:overflowPunct/>
              <w:topLinePunct w:val="0"/>
              <w:autoSpaceDE/>
              <w:autoSpaceDN/>
              <w:bidi w:val="0"/>
              <w:adjustRightInd/>
              <w:snapToGrid/>
              <w:spacing w:line="240" w:lineRule="auto"/>
              <w:jc w:val="center"/>
              <w:rPr>
                <w:rFonts w:hint="eastAsia" w:ascii="仿宋" w:hAnsi="仿宋" w:eastAsia="仿宋" w:cs="仿宋"/>
                <w:sz w:val="18"/>
                <w:szCs w:val="18"/>
                <w:highlight w:val="none"/>
                <w:lang w:val="en-US" w:eastAsia="zh-CN"/>
              </w:rPr>
            </w:pPr>
            <w:r>
              <w:rPr>
                <w:rFonts w:hint="eastAsia" w:ascii="仿宋" w:hAnsi="仿宋" w:eastAsia="仿宋" w:cs="仿宋"/>
                <w:b/>
                <w:bCs/>
                <w:i w:val="0"/>
                <w:iCs w:val="0"/>
                <w:color w:val="000000"/>
                <w:kern w:val="0"/>
                <w:sz w:val="18"/>
                <w:szCs w:val="18"/>
                <w:highlight w:val="none"/>
                <w:u w:val="none"/>
                <w:lang w:val="en-US" w:eastAsia="zh-CN" w:bidi="ar"/>
              </w:rPr>
              <w:t>（元）</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kern w:val="0"/>
                <w:sz w:val="18"/>
                <w:szCs w:val="18"/>
                <w:highlight w:val="none"/>
                <w:u w:val="none"/>
                <w:lang w:val="en-US" w:eastAsia="zh-CN" w:bidi="ar"/>
              </w:rPr>
            </w:pPr>
            <w:r>
              <w:rPr>
                <w:rFonts w:hint="eastAsia" w:ascii="仿宋" w:hAnsi="仿宋" w:eastAsia="仿宋" w:cs="仿宋"/>
                <w:b/>
                <w:bCs/>
                <w:i w:val="0"/>
                <w:iCs w:val="0"/>
                <w:color w:val="000000"/>
                <w:kern w:val="0"/>
                <w:sz w:val="18"/>
                <w:szCs w:val="18"/>
                <w:highlight w:val="none"/>
                <w:u w:val="none"/>
                <w:lang w:val="en-US" w:eastAsia="zh-CN" w:bidi="ar"/>
              </w:rPr>
              <w:t>单项总价</w:t>
            </w:r>
          </w:p>
          <w:p>
            <w:pPr>
              <w:pStyle w:val="12"/>
              <w:keepNext w:val="0"/>
              <w:keepLines w:val="0"/>
              <w:pageBreakBefore w:val="0"/>
              <w:widowControl w:val="0"/>
              <w:kinsoku/>
              <w:wordWrap/>
              <w:overflowPunct/>
              <w:topLinePunct w:val="0"/>
              <w:autoSpaceDE/>
              <w:autoSpaceDN/>
              <w:bidi w:val="0"/>
              <w:adjustRightInd/>
              <w:snapToGrid/>
              <w:spacing w:line="240" w:lineRule="auto"/>
              <w:jc w:val="center"/>
              <w:rPr>
                <w:rFonts w:hint="eastAsia" w:ascii="仿宋" w:hAnsi="仿宋" w:eastAsia="仿宋" w:cs="仿宋"/>
                <w:sz w:val="18"/>
                <w:szCs w:val="18"/>
                <w:highlight w:val="none"/>
                <w:lang w:val="en-US" w:eastAsia="zh-CN"/>
              </w:rPr>
            </w:pPr>
            <w:r>
              <w:rPr>
                <w:rFonts w:hint="eastAsia" w:ascii="仿宋" w:hAnsi="仿宋" w:eastAsia="仿宋" w:cs="仿宋"/>
                <w:b/>
                <w:bCs/>
                <w:i w:val="0"/>
                <w:iCs w:val="0"/>
                <w:color w:val="000000"/>
                <w:kern w:val="0"/>
                <w:sz w:val="18"/>
                <w:szCs w:val="18"/>
                <w:highlight w:val="none"/>
                <w:u w:val="none"/>
                <w:lang w:val="en-US" w:eastAsia="zh-CN" w:bidi="ar"/>
              </w:rPr>
              <w:t>（元）</w:t>
            </w: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CT片袋</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390×510</w:t>
            </w:r>
          </w:p>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270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DR片袋</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310×480</w:t>
            </w:r>
          </w:p>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210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煎药袋（大）</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40g每平方米及以上无纺布</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450×320</w:t>
            </w:r>
          </w:p>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780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煎药袋（中）</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40g每平方米及以上无纺布</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350×250</w:t>
            </w:r>
          </w:p>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16*1000个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486</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煎药袋（小）</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40g每平方米及以上无纺布</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200×150</w:t>
            </w:r>
          </w:p>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295</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6</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药房袋子（小号）</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(200+55*2)×330（±2%）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320*1000个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47</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药房袋子（大号）</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（300+75*2）×480（±2%）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149.84*1000个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8</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中号白色垃圾袋（48#）</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600*650（±2%）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220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小号黄色医疗垃圾袋（34#）</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500*520（±2%）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33*1000个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170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中号黄色医疗垃圾袋（48#）</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600*650（±2%）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82*1000个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260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11</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平口大号黄色医疗垃圾袋（90#）</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900*1100（±2%）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860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12</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小号黑色垃圾袋（34#）</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500*520（±2%）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500*1000个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85</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13</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中号黑色垃圾袋（48#）</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700*730（±2%）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14</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大号黑色垃圾袋（55#）</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750*800（±2%）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15</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平口大号黑色垃圾袋（90#）</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900*1100（±2%）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16</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中号橘红色垃圾袋（48#）</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650*650（±2%）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17</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平口大号橘红色垃圾袋（90#）</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900*1100（±2%）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18</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平口特大号白色垃圾袋</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1200*1400</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1500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19</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平口特大号黄色医废垃圾袋</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1200*1400</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1500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平口特大号黑色垃圾袋</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1200*1400</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8.2*1000个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1400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21</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超市食品包装袋（小号）</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(250+60*2)×380（±2%）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15*1000个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60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22</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超市食品包装袋（大号）</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（300+75*2）×480（±2%）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15*1000个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120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1020" w:hRule="exact"/>
          <w:jc w:val="center"/>
        </w:trPr>
        <w:tc>
          <w:tcPr>
            <w:tcW w:w="10261"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sz w:val="18"/>
                <w:szCs w:val="18"/>
                <w:highlight w:val="none"/>
              </w:rPr>
            </w:pPr>
          </w:p>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sz w:val="18"/>
                <w:szCs w:val="18"/>
                <w:highlight w:val="none"/>
                <w:u w:val="none"/>
                <w:lang w:val="en-US" w:eastAsia="zh-CN"/>
              </w:rPr>
            </w:pPr>
            <w:r>
              <w:rPr>
                <w:rFonts w:hint="eastAsia" w:ascii="仿宋" w:hAnsi="仿宋" w:eastAsia="仿宋" w:cs="仿宋"/>
                <w:color w:val="auto"/>
                <w:sz w:val="18"/>
                <w:szCs w:val="18"/>
                <w:highlight w:val="none"/>
              </w:rPr>
              <w:t>报价总价（小写金额）</w:t>
            </w:r>
            <w:r>
              <w:rPr>
                <w:rFonts w:hint="eastAsia" w:ascii="仿宋" w:hAnsi="仿宋" w:eastAsia="仿宋" w:cs="仿宋"/>
                <w:color w:val="auto"/>
                <w:sz w:val="18"/>
                <w:szCs w:val="18"/>
                <w:highlight w:val="none"/>
                <w:lang w:eastAsia="zh-CN"/>
              </w:rPr>
              <w:t>：</w:t>
            </w:r>
            <w:r>
              <w:rPr>
                <w:rFonts w:hint="eastAsia" w:ascii="仿宋" w:hAnsi="仿宋" w:eastAsia="仿宋" w:cs="仿宋"/>
                <w:color w:val="auto"/>
                <w:sz w:val="18"/>
                <w:szCs w:val="18"/>
                <w:highlight w:val="none"/>
                <w:u w:val="single"/>
                <w:lang w:val="en-US" w:eastAsia="zh-CN"/>
              </w:rPr>
              <w:t xml:space="preserve">                         </w:t>
            </w:r>
            <w:r>
              <w:rPr>
                <w:rFonts w:hint="eastAsia" w:ascii="仿宋" w:hAnsi="仿宋" w:eastAsia="仿宋" w:cs="仿宋"/>
                <w:color w:val="auto"/>
                <w:sz w:val="18"/>
                <w:szCs w:val="18"/>
                <w:highlight w:val="none"/>
                <w:u w:val="none"/>
                <w:lang w:val="en-US" w:eastAsia="zh-CN"/>
              </w:rPr>
              <w:t>元；下浮比例</w:t>
            </w:r>
            <w:r>
              <w:rPr>
                <w:rFonts w:hint="eastAsia" w:ascii="仿宋" w:hAnsi="仿宋" w:eastAsia="仿宋" w:cs="仿宋"/>
                <w:color w:val="auto"/>
                <w:sz w:val="18"/>
                <w:szCs w:val="18"/>
                <w:highlight w:val="none"/>
                <w:u w:val="single"/>
                <w:lang w:val="en-US" w:eastAsia="zh-CN"/>
              </w:rPr>
              <w:t xml:space="preserve">                         %</w:t>
            </w:r>
            <w:r>
              <w:rPr>
                <w:rFonts w:hint="eastAsia" w:ascii="仿宋" w:hAnsi="仿宋" w:eastAsia="仿宋" w:cs="仿宋"/>
                <w:color w:val="auto"/>
                <w:sz w:val="18"/>
                <w:szCs w:val="18"/>
                <w:highlight w:val="none"/>
                <w:u w:val="none"/>
                <w:lang w:val="en-US" w:eastAsia="zh-CN"/>
              </w:rPr>
              <w:t>（保留小数点后两位数）</w:t>
            </w:r>
          </w:p>
          <w:p>
            <w:pPr>
              <w:pStyle w:val="12"/>
              <w:keepNext w:val="0"/>
              <w:keepLines w:val="0"/>
              <w:pageBreakBefore w:val="0"/>
              <w:widowControl w:val="0"/>
              <w:kinsoku/>
              <w:wordWrap/>
              <w:overflowPunct/>
              <w:topLinePunct w:val="0"/>
              <w:autoSpaceDE/>
              <w:autoSpaceDN/>
              <w:bidi w:val="0"/>
              <w:adjustRightInd/>
              <w:snapToGrid/>
              <w:spacing w:line="240" w:lineRule="auto"/>
              <w:rPr>
                <w:rFonts w:hint="eastAsia" w:ascii="仿宋" w:hAnsi="仿宋" w:eastAsia="仿宋" w:cs="仿宋"/>
                <w:color w:val="auto"/>
                <w:sz w:val="18"/>
                <w:szCs w:val="18"/>
                <w:highlight w:val="none"/>
              </w:rPr>
            </w:pPr>
          </w:p>
          <w:p>
            <w:pPr>
              <w:pStyle w:val="12"/>
              <w:keepNext w:val="0"/>
              <w:keepLines w:val="0"/>
              <w:pageBreakBefore w:val="0"/>
              <w:widowControl w:val="0"/>
              <w:kinsoku/>
              <w:wordWrap/>
              <w:overflowPunct/>
              <w:topLinePunct w:val="0"/>
              <w:autoSpaceDE/>
              <w:autoSpaceDN/>
              <w:bidi w:val="0"/>
              <w:adjustRightInd/>
              <w:snapToGrid/>
              <w:spacing w:line="240" w:lineRule="auto"/>
              <w:rPr>
                <w:rFonts w:hint="eastAsia" w:ascii="仿宋" w:hAnsi="仿宋" w:eastAsia="仿宋" w:cs="仿宋"/>
                <w:sz w:val="18"/>
                <w:szCs w:val="18"/>
                <w:highlight w:val="none"/>
                <w:lang w:val="en-US" w:eastAsia="zh-CN"/>
              </w:rPr>
            </w:pPr>
            <w:r>
              <w:rPr>
                <w:rFonts w:hint="eastAsia" w:ascii="仿宋" w:hAnsi="仿宋" w:eastAsia="仿宋" w:cs="仿宋"/>
                <w:color w:val="auto"/>
                <w:sz w:val="18"/>
                <w:szCs w:val="18"/>
                <w:highlight w:val="none"/>
              </w:rPr>
              <w:t>报价总价（大写金额）：</w:t>
            </w:r>
            <w:r>
              <w:rPr>
                <w:rFonts w:hint="eastAsia" w:ascii="仿宋" w:hAnsi="仿宋" w:eastAsia="仿宋" w:cs="仿宋"/>
                <w:color w:val="auto"/>
                <w:sz w:val="18"/>
                <w:szCs w:val="18"/>
                <w:highlight w:val="none"/>
                <w:u w:val="single"/>
                <w:lang w:val="en-US" w:eastAsia="zh-CN"/>
              </w:rPr>
              <w:t xml:space="preserve">                                                                                        </w:t>
            </w:r>
            <w:r>
              <w:rPr>
                <w:rFonts w:hint="eastAsia" w:ascii="仿宋" w:hAnsi="仿宋" w:eastAsia="仿宋" w:cs="仿宋"/>
                <w:color w:val="auto"/>
                <w:sz w:val="18"/>
                <w:szCs w:val="18"/>
                <w:highlight w:val="none"/>
                <w:u w:val="none"/>
                <w:lang w:val="en-US" w:eastAsia="zh-CN"/>
              </w:rPr>
              <w:t xml:space="preserve">    </w:t>
            </w:r>
          </w:p>
        </w:tc>
      </w:tr>
    </w:tbl>
    <w:p>
      <w:pPr>
        <w:spacing w:line="360" w:lineRule="auto"/>
        <w:ind w:firstLine="0" w:firstLineChars="0"/>
        <w:rPr>
          <w:rFonts w:hint="eastAsia" w:ascii="仿宋" w:hAnsi="仿宋" w:eastAsia="仿宋" w:cs="仿宋"/>
          <w:color w:val="auto"/>
          <w:sz w:val="24"/>
        </w:rPr>
      </w:pPr>
    </w:p>
    <w:p>
      <w:pPr>
        <w:spacing w:line="360" w:lineRule="auto"/>
        <w:ind w:firstLine="0" w:firstLineChars="0"/>
        <w:rPr>
          <w:rFonts w:hint="eastAsia" w:ascii="仿宋" w:hAnsi="仿宋" w:eastAsia="仿宋" w:cs="仿宋"/>
          <w:color w:val="auto"/>
          <w:sz w:val="24"/>
        </w:rPr>
      </w:pPr>
      <w:r>
        <w:rPr>
          <w:rFonts w:hint="eastAsia" w:ascii="仿宋" w:hAnsi="仿宋" w:eastAsia="仿宋" w:cs="仿宋"/>
          <w:color w:val="auto"/>
          <w:sz w:val="24"/>
        </w:rPr>
        <w:t>注：</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pPr>
        <w:spacing w:line="360" w:lineRule="auto"/>
        <w:ind w:firstLine="480" w:firstLineChars="200"/>
        <w:rPr>
          <w:bCs/>
          <w:color w:val="auto"/>
        </w:rPr>
      </w:pPr>
      <w:r>
        <w:rPr>
          <w:rFonts w:hint="eastAsia" w:ascii="仿宋" w:hAnsi="仿宋" w:cs="仿宋"/>
          <w:b w:val="0"/>
          <w:bCs/>
          <w:color w:val="auto"/>
          <w:sz w:val="24"/>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w:t>
      </w:r>
      <w:r>
        <w:rPr>
          <w:rFonts w:hint="eastAsia" w:ascii="仿宋" w:hAnsi="仿宋" w:eastAsia="仿宋" w:cs="仿宋"/>
          <w:b w:val="0"/>
          <w:bCs/>
          <w:color w:val="auto"/>
          <w:sz w:val="24"/>
        </w:rPr>
        <w:t>需</w:t>
      </w:r>
      <w:r>
        <w:rPr>
          <w:rFonts w:hint="eastAsia" w:ascii="仿宋" w:hAnsi="仿宋" w:eastAsia="仿宋" w:cs="仿宋"/>
          <w:b w:val="0"/>
          <w:bCs/>
          <w:color w:val="auto"/>
          <w:sz w:val="24"/>
          <w:lang w:eastAsia="zh-CN"/>
        </w:rPr>
        <w:t>填写完整并</w:t>
      </w:r>
      <w:r>
        <w:rPr>
          <w:rFonts w:hint="eastAsia" w:ascii="仿宋" w:hAnsi="仿宋" w:eastAsia="仿宋" w:cs="仿宋"/>
          <w:b w:val="0"/>
          <w:bCs/>
          <w:color w:val="auto"/>
          <w:sz w:val="24"/>
        </w:rPr>
        <w:t>装订入其他响应文件中。</w:t>
      </w:r>
    </w:p>
    <w:p>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3.单价为每份报价，1份为1000个袋子。</w:t>
      </w:r>
    </w:p>
    <w:p>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4.单价：每份单价按照同比例下浮报价，保留小数点后两位。</w:t>
      </w:r>
    </w:p>
    <w:p>
      <w:pPr>
        <w:spacing w:line="360" w:lineRule="auto"/>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5.报价总价不保留小数。</w:t>
      </w:r>
    </w:p>
    <w:p>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6.未按以上要求报价无效。</w:t>
      </w:r>
    </w:p>
    <w:p>
      <w:pPr>
        <w:spacing w:line="360" w:lineRule="auto"/>
        <w:ind w:firstLine="0" w:firstLineChars="0"/>
        <w:rPr>
          <w:rFonts w:hint="eastAsia" w:ascii="仿宋" w:hAnsi="仿宋" w:eastAsia="仿宋" w:cs="仿宋"/>
          <w:color w:val="auto"/>
          <w:sz w:val="24"/>
        </w:rPr>
      </w:pPr>
    </w:p>
    <w:p>
      <w:pPr>
        <w:snapToGrid w:val="0"/>
        <w:spacing w:line="360" w:lineRule="auto"/>
        <w:ind w:firstLine="480" w:firstLineChars="200"/>
        <w:jc w:val="left"/>
        <w:rPr>
          <w:rFonts w:hint="eastAsia" w:ascii="仿宋" w:hAnsi="仿宋" w:eastAsia="仿宋" w:cs="仿宋"/>
          <w:bCs/>
          <w:color w:val="auto"/>
          <w:sz w:val="24"/>
        </w:rPr>
      </w:pP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bookmarkStart w:id="113" w:name="_Toc4463"/>
      <w:bookmarkStart w:id="114" w:name="_Toc21989"/>
    </w:p>
    <w:p>
      <w:pPr>
        <w:rPr>
          <w:rFonts w:hint="eastAsia" w:ascii="仿宋" w:hAnsi="仿宋" w:eastAsia="仿宋" w:cs="仿宋"/>
          <w:b/>
          <w:bCs/>
          <w:color w:val="auto"/>
          <w:sz w:val="24"/>
        </w:rPr>
      </w:pPr>
      <w:r>
        <w:rPr>
          <w:rFonts w:hint="eastAsia" w:ascii="仿宋" w:hAnsi="仿宋" w:eastAsia="仿宋" w:cs="仿宋"/>
          <w:b/>
          <w:bCs/>
          <w:color w:val="auto"/>
          <w:sz w:val="24"/>
        </w:rPr>
        <w:br w:type="page"/>
      </w:r>
    </w:p>
    <w:p>
      <w:pPr>
        <w:snapToGrid w:val="0"/>
        <w:spacing w:line="360" w:lineRule="auto"/>
        <w:jc w:val="left"/>
        <w:outlineLvl w:val="2"/>
        <w:rPr>
          <w:rFonts w:hint="eastAsia" w:ascii="仿宋" w:hAnsi="仿宋" w:eastAsia="仿宋" w:cs="仿宋"/>
          <w:b/>
          <w:bCs/>
          <w:color w:val="auto"/>
          <w:sz w:val="36"/>
          <w:szCs w:val="36"/>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2-8</w:t>
      </w:r>
      <w:r>
        <w:rPr>
          <w:rFonts w:hint="eastAsia" w:ascii="仿宋" w:hAnsi="仿宋" w:cs="仿宋"/>
          <w:b/>
          <w:bCs/>
          <w:color w:val="auto"/>
          <w:sz w:val="24"/>
        </w:rPr>
        <w:t>:</w:t>
      </w:r>
      <w:r>
        <w:rPr>
          <w:rFonts w:hint="eastAsia" w:ascii="仿宋" w:hAnsi="仿宋" w:eastAsia="仿宋" w:cs="仿宋"/>
          <w:b/>
          <w:bCs/>
          <w:color w:val="auto"/>
          <w:sz w:val="24"/>
        </w:rPr>
        <w:t>承诺函</w:t>
      </w:r>
      <w:bookmarkEnd w:id="113"/>
      <w:bookmarkEnd w:id="114"/>
      <w:bookmarkStart w:id="115" w:name="_Toc6183_WPSOffice_Level2"/>
    </w:p>
    <w:p>
      <w:pPr>
        <w:pStyle w:val="17"/>
        <w:snapToGrid w:val="0"/>
        <w:spacing w:before="240" w:beforeLines="100" w:after="20" w:line="360" w:lineRule="auto"/>
        <w:ind w:left="0" w:leftChars="0" w:firstLine="181" w:firstLineChars="50"/>
        <w:jc w:val="center"/>
        <w:rPr>
          <w:rFonts w:hint="eastAsia" w:ascii="仿宋" w:hAnsi="仿宋" w:eastAsia="仿宋" w:cs="仿宋"/>
          <w:b/>
          <w:bCs/>
          <w:color w:val="auto"/>
          <w:sz w:val="36"/>
          <w:szCs w:val="36"/>
        </w:rPr>
      </w:pPr>
      <w:bookmarkStart w:id="116" w:name="_Toc9407"/>
      <w:bookmarkStart w:id="117" w:name="_Toc31555"/>
      <w:r>
        <w:rPr>
          <w:rFonts w:hint="eastAsia" w:ascii="仿宋" w:hAnsi="仿宋" w:eastAsia="仿宋" w:cs="仿宋"/>
          <w:b/>
          <w:bCs/>
          <w:color w:val="auto"/>
          <w:sz w:val="36"/>
          <w:szCs w:val="36"/>
        </w:rPr>
        <w:t>承诺函</w:t>
      </w:r>
      <w:bookmarkEnd w:id="115"/>
      <w:bookmarkEnd w:id="116"/>
      <w:bookmarkEnd w:id="117"/>
    </w:p>
    <w:p>
      <w:pPr>
        <w:widowControl/>
        <w:spacing w:line="360" w:lineRule="auto"/>
        <w:jc w:val="center"/>
        <w:rPr>
          <w:rFonts w:hint="eastAsia" w:ascii="仿宋" w:hAnsi="仿宋" w:eastAsia="仿宋" w:cs="仿宋"/>
          <w:bCs/>
          <w:color w:val="auto"/>
          <w:sz w:val="24"/>
        </w:rPr>
      </w:pPr>
      <w:r>
        <w:rPr>
          <w:rFonts w:hint="eastAsia" w:ascii="仿宋" w:hAnsi="仿宋" w:eastAsia="仿宋" w:cs="仿宋"/>
          <w:color w:val="auto"/>
          <w:sz w:val="24"/>
          <w:szCs w:val="24"/>
          <w:highlight w:val="none"/>
        </w:rPr>
        <w:t>（实质性要求）</w:t>
      </w:r>
    </w:p>
    <w:p>
      <w:pPr>
        <w:widowControl/>
        <w:spacing w:line="360" w:lineRule="auto"/>
        <w:jc w:val="left"/>
        <w:rPr>
          <w:rFonts w:hint="eastAsia"/>
          <w:color w:val="auto"/>
          <w:lang w:val="zh-CN"/>
        </w:rPr>
      </w:pPr>
      <w:r>
        <w:rPr>
          <w:rFonts w:hint="eastAsia" w:ascii="仿宋" w:hAnsi="仿宋" w:eastAsia="仿宋" w:cs="仿宋"/>
          <w:color w:val="auto"/>
          <w:sz w:val="24"/>
          <w:u w:val="single"/>
          <w:lang w:val="zh-CN"/>
        </w:rPr>
        <w:t>XXXXXXXX</w:t>
      </w:r>
      <w:r>
        <w:rPr>
          <w:rFonts w:hint="eastAsia" w:ascii="仿宋" w:hAnsi="仿宋" w:eastAsia="仿宋" w:cs="仿宋"/>
          <w:color w:val="auto"/>
          <w:sz w:val="24"/>
          <w:lang w:val="zh-CN"/>
        </w:rPr>
        <w:t>（采购人名称）：</w:t>
      </w:r>
    </w:p>
    <w:p>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color w:val="auto"/>
          <w:sz w:val="24"/>
          <w:lang w:val="zh-CN"/>
        </w:rPr>
        <w:t>我公司作为本次采购项目的供应商，根据采购文件要求，现郑重承诺如下：</w:t>
      </w:r>
    </w:p>
    <w:p>
      <w:pPr>
        <w:pStyle w:val="17"/>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一、</w:t>
      </w:r>
      <w:r>
        <w:rPr>
          <w:rFonts w:hint="eastAsia" w:ascii="仿宋" w:hAnsi="仿宋" w:eastAsia="仿宋" w:cs="仿宋"/>
          <w:bCs/>
          <w:color w:val="auto"/>
          <w:sz w:val="24"/>
          <w:lang w:eastAsia="zh-CN"/>
        </w:rPr>
        <w:t>我方</w:t>
      </w:r>
      <w:r>
        <w:rPr>
          <w:rFonts w:hint="eastAsia" w:ascii="仿宋" w:hAnsi="仿宋" w:eastAsia="仿宋" w:cs="仿宋"/>
          <w:color w:val="auto"/>
          <w:sz w:val="24"/>
          <w:lang w:val="zh-CN"/>
        </w:rPr>
        <w:t>响应文件中提供的任何材料资料和技术、服务、商务等响应承诺情况都是真实的、有效的、合法的</w:t>
      </w:r>
      <w:r>
        <w:rPr>
          <w:rFonts w:hint="eastAsia" w:ascii="仿宋" w:hAnsi="仿宋" w:eastAsia="仿宋" w:cs="仿宋"/>
          <w:bCs/>
          <w:color w:val="auto"/>
          <w:sz w:val="24"/>
        </w:rPr>
        <w:t>。</w:t>
      </w:r>
    </w:p>
    <w:p>
      <w:pPr>
        <w:pStyle w:val="17"/>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二、</w:t>
      </w:r>
      <w:r>
        <w:rPr>
          <w:rFonts w:hint="eastAsia" w:ascii="仿宋" w:hAnsi="仿宋" w:eastAsia="仿宋" w:cs="仿宋"/>
          <w:bCs/>
          <w:color w:val="auto"/>
          <w:sz w:val="24"/>
        </w:rPr>
        <w:t>我方愿意提交贵单位可能另外要求的，与</w:t>
      </w:r>
      <w:r>
        <w:rPr>
          <w:rFonts w:hint="eastAsia" w:ascii="仿宋" w:hAnsi="仿宋" w:eastAsia="仿宋" w:cs="仿宋"/>
          <w:bCs/>
          <w:color w:val="auto"/>
          <w:sz w:val="24"/>
          <w:lang w:eastAsia="zh-CN"/>
        </w:rPr>
        <w:t>报价</w:t>
      </w:r>
      <w:r>
        <w:rPr>
          <w:rFonts w:hint="eastAsia" w:ascii="仿宋" w:hAnsi="仿宋" w:eastAsia="仿宋" w:cs="仿宋"/>
          <w:bCs/>
          <w:color w:val="auto"/>
          <w:sz w:val="24"/>
        </w:rPr>
        <w:t>有关的文件资料，并保证我方已提供和将要提供的文件资料是真实、准确的。</w:t>
      </w:r>
    </w:p>
    <w:p>
      <w:pPr>
        <w:pStyle w:val="17"/>
        <w:snapToGrid w:val="0"/>
        <w:spacing w:after="0" w:line="360" w:lineRule="auto"/>
        <w:ind w:left="0" w:leftChars="0" w:firstLine="480" w:firstLineChars="200"/>
        <w:rPr>
          <w:rFonts w:hint="eastAsia" w:ascii="仿宋" w:hAnsi="仿宋" w:eastAsia="仿宋" w:cs="仿宋"/>
          <w:bCs/>
          <w:color w:val="auto"/>
          <w:sz w:val="24"/>
        </w:rPr>
      </w:pPr>
      <w:r>
        <w:rPr>
          <w:rFonts w:hint="eastAsia" w:ascii="仿宋" w:hAnsi="仿宋" w:eastAsia="仿宋" w:cs="仿宋"/>
          <w:bCs/>
          <w:color w:val="auto"/>
          <w:sz w:val="24"/>
          <w:lang w:eastAsia="zh-CN"/>
        </w:rPr>
        <w:t>三</w:t>
      </w:r>
      <w:r>
        <w:rPr>
          <w:rFonts w:hint="eastAsia" w:ascii="仿宋" w:hAnsi="仿宋" w:eastAsia="仿宋" w:cs="仿宋"/>
          <w:bCs/>
          <w:color w:val="auto"/>
          <w:sz w:val="24"/>
        </w:rPr>
        <w:t>、我方完全同意采购文件全部的实质性要求，并严格按照采购文件要求履行。</w:t>
      </w:r>
    </w:p>
    <w:p>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bCs/>
          <w:color w:val="auto"/>
          <w:sz w:val="24"/>
          <w:lang w:eastAsia="zh-CN"/>
        </w:rPr>
        <w:t>四</w:t>
      </w:r>
      <w:r>
        <w:rPr>
          <w:rFonts w:hint="eastAsia" w:ascii="仿宋" w:hAnsi="仿宋" w:eastAsia="仿宋" w:cs="仿宋"/>
          <w:bCs/>
          <w:color w:val="auto"/>
          <w:sz w:val="24"/>
        </w:rPr>
        <w:t>、</w:t>
      </w:r>
      <w:r>
        <w:rPr>
          <w:rFonts w:hint="eastAsia" w:ascii="仿宋" w:hAnsi="仿宋" w:eastAsia="仿宋" w:cs="仿宋"/>
          <w:color w:val="auto"/>
          <w:sz w:val="24"/>
          <w:lang w:val="zh-CN"/>
        </w:rPr>
        <w:t>如本项目采购过程中需要提供样品，则我公司提供的样品即为成交后将要提供的成交产品，我公司对提供样品的性能和质量负责，因样品存在缺陷或者不符合采购文件要求导致未能成交的，我公司愿意承担相应不利后果。</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五</w:t>
      </w:r>
      <w:r>
        <w:rPr>
          <w:rFonts w:hint="eastAsia" w:ascii="仿宋" w:hAnsi="仿宋" w:eastAsia="仿宋" w:cs="仿宋"/>
          <w:color w:val="auto"/>
          <w:sz w:val="24"/>
        </w:rPr>
        <w:t>、国家或行业主管部门对供应商和采购产品的技术标准、质量标准和资格资质条件等有强制性规定的，我方承诺符合其要求。</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六</w:t>
      </w:r>
      <w:r>
        <w:rPr>
          <w:rFonts w:hint="eastAsia" w:ascii="仿宋" w:hAnsi="仿宋" w:eastAsia="仿宋" w:cs="仿宋"/>
          <w:color w:val="auto"/>
          <w:sz w:val="24"/>
        </w:rPr>
        <w:t>、在评审中，当采购人代表、采购代理机构或评审小组需要我方及时对响应文件内容进行澄清答疑或需要我方派授权代表参加</w:t>
      </w:r>
      <w:r>
        <w:rPr>
          <w:rFonts w:hint="eastAsia" w:ascii="仿宋" w:hAnsi="仿宋" w:eastAsia="仿宋" w:cs="仿宋"/>
          <w:color w:val="auto"/>
          <w:sz w:val="24"/>
          <w:lang w:eastAsia="zh-CN"/>
        </w:rPr>
        <w:t>谈判</w:t>
      </w:r>
      <w:r>
        <w:rPr>
          <w:rFonts w:hint="eastAsia" w:ascii="仿宋" w:hAnsi="仿宋" w:eastAsia="仿宋" w:cs="仿宋"/>
          <w:color w:val="auto"/>
          <w:sz w:val="24"/>
        </w:rPr>
        <w:t>时，若因我方原因未及时到场（未按采购人、采购代理机构、评审小组要求到场）澄清答疑、或</w:t>
      </w:r>
      <w:r>
        <w:rPr>
          <w:rFonts w:hint="eastAsia" w:ascii="仿宋" w:hAnsi="仿宋" w:eastAsia="仿宋" w:cs="仿宋"/>
          <w:color w:val="auto"/>
          <w:sz w:val="24"/>
          <w:lang w:eastAsia="zh-CN"/>
        </w:rPr>
        <w:t>谈判</w:t>
      </w:r>
      <w:r>
        <w:rPr>
          <w:rFonts w:hint="eastAsia" w:ascii="仿宋" w:hAnsi="仿宋" w:eastAsia="仿宋" w:cs="仿宋"/>
          <w:color w:val="auto"/>
          <w:sz w:val="24"/>
        </w:rPr>
        <w:t>的，我方自愿接受评审小组做出的不利于我方的评审结果，绝不反悔。</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eastAsia="zh-CN"/>
        </w:rPr>
        <w:t>七</w:t>
      </w:r>
      <w:r>
        <w:rPr>
          <w:rFonts w:hint="eastAsia" w:ascii="仿宋" w:hAnsi="仿宋" w:eastAsia="仿宋" w:cs="仿宋"/>
          <w:color w:val="auto"/>
          <w:sz w:val="24"/>
        </w:rPr>
        <w:t>、我方保证在本项目使用的任何技术、产品和服务（包括部分使用）时，不会产生因第三方提出侵犯其专利权、商标权或其它知识产权而引起的法律和经济纠纷，如因专利权、商标权或其它知识产权而引起法律和经济纠纷，由我方承担所有相关责任。除非</w:t>
      </w:r>
      <w:r>
        <w:rPr>
          <w:rFonts w:hint="eastAsia" w:ascii="仿宋" w:hAnsi="仿宋" w:eastAsia="仿宋" w:cs="仿宋"/>
          <w:color w:val="auto"/>
          <w:sz w:val="24"/>
          <w:lang w:eastAsia="zh-CN"/>
        </w:rPr>
        <w:t>谈判</w:t>
      </w:r>
      <w:r>
        <w:rPr>
          <w:rFonts w:hint="eastAsia" w:ascii="仿宋" w:hAnsi="仿宋" w:eastAsia="仿宋" w:cs="仿宋"/>
          <w:color w:val="auto"/>
          <w:sz w:val="24"/>
        </w:rPr>
        <w:t>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pPr>
        <w:widowControl/>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color w:val="auto"/>
          <w:sz w:val="24"/>
          <w:lang w:val="zh-CN"/>
        </w:rPr>
        <w:t>八、</w:t>
      </w:r>
      <w:r>
        <w:rPr>
          <w:rFonts w:hint="eastAsia" w:ascii="仿宋" w:hAnsi="仿宋" w:eastAsia="仿宋" w:cs="仿宋"/>
          <w:bCs/>
          <w:color w:val="auto"/>
          <w:sz w:val="24"/>
        </w:rPr>
        <w:t>我方承诺在响应有效期_____天内不</w:t>
      </w:r>
      <w:r>
        <w:rPr>
          <w:rFonts w:hint="eastAsia" w:ascii="仿宋" w:hAnsi="仿宋" w:eastAsia="仿宋" w:cs="仿宋"/>
          <w:bCs/>
          <w:color w:val="auto"/>
          <w:sz w:val="24"/>
          <w:lang w:eastAsia="zh-CN"/>
        </w:rPr>
        <w:t>撤销</w:t>
      </w:r>
      <w:r>
        <w:rPr>
          <w:rFonts w:hint="eastAsia" w:ascii="仿宋" w:hAnsi="仿宋" w:eastAsia="仿宋" w:cs="仿宋"/>
          <w:bCs/>
          <w:color w:val="auto"/>
          <w:sz w:val="24"/>
        </w:rPr>
        <w:t>响应文件</w:t>
      </w:r>
    </w:p>
    <w:p>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color w:val="auto"/>
          <w:sz w:val="24"/>
          <w:lang w:val="zh-CN"/>
        </w:rPr>
        <w:t>九、如果我公司成交：</w:t>
      </w:r>
    </w:p>
    <w:p>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val="zh-CN" w:eastAsia="zh-CN"/>
        </w:rPr>
      </w:pPr>
      <w:r>
        <w:rPr>
          <w:rFonts w:hint="eastAsia" w:ascii="仿宋" w:hAnsi="仿宋" w:eastAsia="仿宋" w:cs="仿宋"/>
          <w:bCs/>
          <w:color w:val="auto"/>
          <w:sz w:val="24"/>
          <w:lang w:val="zh-CN" w:eastAsia="zh-CN"/>
        </w:rPr>
        <w:t>（</w:t>
      </w:r>
      <w:r>
        <w:rPr>
          <w:rFonts w:hint="eastAsia" w:ascii="仿宋" w:hAnsi="仿宋" w:eastAsia="仿宋" w:cs="仿宋"/>
          <w:bCs/>
          <w:color w:val="auto"/>
          <w:sz w:val="24"/>
          <w:lang w:val="en-US" w:eastAsia="zh-CN"/>
        </w:rPr>
        <w:t>1</w:t>
      </w:r>
      <w:r>
        <w:rPr>
          <w:rFonts w:hint="eastAsia" w:ascii="仿宋" w:hAnsi="仿宋" w:eastAsia="仿宋" w:cs="仿宋"/>
          <w:bCs/>
          <w:color w:val="auto"/>
          <w:sz w:val="24"/>
          <w:lang w:val="zh-CN" w:eastAsia="zh-CN"/>
        </w:rPr>
        <w:t>）我方将严格按本项目采购文件约定的采购代理服务费收取标准、金额等要求如数足额向采购代理机构缴纳采购代理服务费。</w:t>
      </w:r>
    </w:p>
    <w:p>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2</w:t>
      </w:r>
      <w:r>
        <w:rPr>
          <w:rFonts w:hint="eastAsia" w:ascii="仿宋" w:hAnsi="仿宋" w:eastAsia="仿宋" w:cs="仿宋"/>
          <w:bCs/>
          <w:color w:val="auto"/>
          <w:sz w:val="24"/>
          <w:lang w:eastAsia="zh-CN"/>
        </w:rPr>
        <w:t>）我方将严格按照采购文件确定的事项和我方响应文件内容签订合同并全面履行合同规定的责任和义务，保证按合同要求提供项目所列的质量、技术和服务内容。</w:t>
      </w:r>
    </w:p>
    <w:p>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）我方承诺在收到成交通知书后，在规定的期限内与采购人签订合同。</w:t>
      </w:r>
    </w:p>
    <w:p>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4</w:t>
      </w:r>
      <w:r>
        <w:rPr>
          <w:rFonts w:hint="eastAsia" w:ascii="仿宋" w:hAnsi="仿宋" w:eastAsia="仿宋" w:cs="仿宋"/>
          <w:bCs/>
          <w:color w:val="auto"/>
          <w:sz w:val="24"/>
          <w:lang w:eastAsia="zh-CN"/>
        </w:rPr>
        <w:t>）</w:t>
      </w:r>
      <w:r>
        <w:rPr>
          <w:rFonts w:hint="eastAsia" w:ascii="仿宋" w:hAnsi="仿宋" w:eastAsia="仿宋" w:cs="仿宋"/>
          <w:bCs/>
          <w:color w:val="auto"/>
          <w:sz w:val="24"/>
          <w:szCs w:val="24"/>
        </w:rPr>
        <w:t>我方承诺按照</w:t>
      </w:r>
      <w:r>
        <w:rPr>
          <w:rFonts w:hint="eastAsia" w:ascii="仿宋" w:hAnsi="仿宋" w:eastAsia="仿宋" w:cs="仿宋"/>
          <w:bCs/>
          <w:color w:val="auto"/>
          <w:sz w:val="24"/>
          <w:szCs w:val="24"/>
          <w:lang w:eastAsia="zh-CN"/>
        </w:rPr>
        <w:t>采购</w:t>
      </w:r>
      <w:r>
        <w:rPr>
          <w:rFonts w:hint="eastAsia" w:ascii="仿宋" w:hAnsi="仿宋" w:eastAsia="仿宋" w:cs="仿宋"/>
          <w:bCs/>
          <w:color w:val="auto"/>
          <w:sz w:val="24"/>
          <w:szCs w:val="24"/>
        </w:rPr>
        <w:t>文件规定的金额和方式向采购人缴纳履约保证金。</w:t>
      </w:r>
    </w:p>
    <w:p>
      <w:pPr>
        <w:widowControl/>
        <w:numPr>
          <w:ilvl w:val="-1"/>
          <w:numId w:val="0"/>
        </w:numPr>
        <w:spacing w:line="360" w:lineRule="auto"/>
        <w:ind w:left="420" w:leftChars="200" w:firstLine="0" w:firstLineChars="0"/>
        <w:rPr>
          <w:rFonts w:hint="eastAsia" w:ascii="仿宋" w:hAnsi="仿宋" w:eastAsia="仿宋" w:cs="仿宋"/>
          <w:bCs/>
          <w:color w:val="auto"/>
          <w:sz w:val="24"/>
          <w:szCs w:val="24"/>
        </w:rPr>
      </w:pPr>
      <w:r>
        <w:rPr>
          <w:rFonts w:hint="eastAsia" w:ascii="仿宋" w:hAnsi="仿宋" w:eastAsia="仿宋" w:cs="仿宋"/>
          <w:bCs/>
          <w:color w:val="auto"/>
          <w:sz w:val="24"/>
          <w:lang w:val="zh-CN" w:eastAsia="zh-CN"/>
        </w:rPr>
        <w:t>十、</w:t>
      </w:r>
      <w:r>
        <w:rPr>
          <w:rFonts w:hint="eastAsia" w:ascii="仿宋" w:hAnsi="仿宋" w:eastAsia="仿宋" w:cs="仿宋"/>
          <w:bCs/>
          <w:color w:val="auto"/>
          <w:sz w:val="24"/>
          <w:szCs w:val="24"/>
          <w:u w:val="single"/>
          <w:lang w:eastAsia="zh-CN"/>
        </w:rPr>
        <w:t xml:space="preserve"> </w:t>
      </w:r>
      <w:r>
        <w:rPr>
          <w:rFonts w:hint="eastAsia" w:ascii="仿宋" w:hAnsi="仿宋" w:eastAsia="仿宋" w:cs="仿宋"/>
          <w:bCs/>
          <w:color w:val="auto"/>
          <w:sz w:val="24"/>
          <w:szCs w:val="24"/>
          <w:u w:val="single"/>
          <w:lang w:val="en-US" w:eastAsia="zh-CN"/>
        </w:rPr>
        <w:t xml:space="preserve">           </w:t>
      </w:r>
      <w:r>
        <w:rPr>
          <w:rFonts w:hint="eastAsia" w:ascii="仿宋" w:hAnsi="仿宋" w:eastAsia="仿宋" w:cs="仿宋"/>
          <w:bCs/>
          <w:color w:val="auto"/>
          <w:sz w:val="24"/>
          <w:szCs w:val="24"/>
        </w:rPr>
        <w:t>（其他补充说明；如果没有，填写“无”）。</w:t>
      </w:r>
    </w:p>
    <w:p>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color w:val="auto"/>
          <w:sz w:val="24"/>
          <w:lang w:val="zh-CN"/>
        </w:rPr>
        <w:t>本公司对上述承诺的内容事项真实性负责。如经查实上述承诺的内容事项存在虚假，我公司自行承担以提供虚假材料谋取成交的一切法律责任。</w:t>
      </w:r>
    </w:p>
    <w:p>
      <w:pPr>
        <w:pStyle w:val="12"/>
        <w:spacing w:line="360" w:lineRule="auto"/>
        <w:rPr>
          <w:color w:val="auto"/>
        </w:rPr>
      </w:pPr>
    </w:p>
    <w:p>
      <w:pPr>
        <w:spacing w:line="360" w:lineRule="auto"/>
        <w:ind w:firstLine="480" w:firstLineChars="200"/>
        <w:rPr>
          <w:rFonts w:hint="eastAsia" w:ascii="仿宋" w:hAnsi="仿宋" w:eastAsia="仿宋" w:cs="仿宋"/>
          <w:bCs/>
          <w:color w:val="auto"/>
          <w:sz w:val="24"/>
        </w:rPr>
      </w:pPr>
    </w:p>
    <w:p>
      <w:pPr>
        <w:spacing w:line="360" w:lineRule="auto"/>
        <w:ind w:firstLine="480" w:firstLineChars="200"/>
        <w:rPr>
          <w:rFonts w:hint="eastAsia" w:ascii="仿宋" w:hAnsi="仿宋" w:eastAsia="仿宋" w:cs="仿宋"/>
          <w:bCs/>
          <w:color w:val="auto"/>
          <w:sz w:val="24"/>
        </w:rPr>
      </w:pP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法定代表人</w:t>
      </w:r>
      <w:r>
        <w:rPr>
          <w:rFonts w:hint="eastAsia" w:ascii="仿宋" w:hAnsi="仿宋" w:eastAsia="仿宋" w:cs="仿宋"/>
          <w:color w:val="auto"/>
          <w:sz w:val="24"/>
          <w:lang w:val="zh-CN"/>
        </w:rPr>
        <w:t>或授权代表</w:t>
      </w:r>
      <w:r>
        <w:rPr>
          <w:rFonts w:hint="eastAsia" w:ascii="仿宋" w:hAnsi="仿宋" w:eastAsia="仿宋" w:cs="仿宋"/>
          <w:bCs/>
          <w:color w:val="auto"/>
          <w:sz w:val="24"/>
        </w:rPr>
        <w:t>（签字）：</w:t>
      </w:r>
    </w:p>
    <w:p>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日    期：</w:t>
      </w:r>
    </w:p>
    <w:p>
      <w:pPr>
        <w:rPr>
          <w:rStyle w:val="118"/>
          <w:rFonts w:hint="eastAsia" w:ascii="仿宋" w:hAnsi="仿宋" w:cs="仿宋"/>
          <w:b/>
          <w:color w:val="auto"/>
          <w:sz w:val="24"/>
          <w:szCs w:val="24"/>
          <w:highlight w:val="none"/>
        </w:rPr>
      </w:pPr>
      <w:r>
        <w:rPr>
          <w:rStyle w:val="118"/>
          <w:rFonts w:hint="eastAsia" w:ascii="仿宋" w:hAnsi="仿宋" w:cs="仿宋"/>
          <w:b/>
          <w:color w:val="auto"/>
          <w:sz w:val="24"/>
          <w:szCs w:val="24"/>
          <w:highlight w:val="none"/>
        </w:rPr>
        <w:br w:type="page"/>
      </w:r>
    </w:p>
    <w:bookmarkEnd w:id="102"/>
    <w:bookmarkEnd w:id="103"/>
    <w:bookmarkEnd w:id="104"/>
    <w:bookmarkEnd w:id="105"/>
    <w:bookmarkEnd w:id="106"/>
    <w:bookmarkEnd w:id="107"/>
    <w:bookmarkEnd w:id="108"/>
    <w:bookmarkEnd w:id="109"/>
    <w:bookmarkEnd w:id="110"/>
    <w:bookmarkEnd w:id="111"/>
    <w:bookmarkEnd w:id="112"/>
    <w:p>
      <w:pPr>
        <w:numPr>
          <w:ilvl w:val="0"/>
          <w:numId w:val="0"/>
        </w:num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lang w:eastAsia="zh-CN"/>
        </w:rPr>
        <w:t>第三部分</w:t>
      </w:r>
      <w:r>
        <w:rPr>
          <w:rFonts w:hint="eastAsia" w:ascii="仿宋" w:hAnsi="仿宋" w:eastAsia="仿宋" w:cs="仿宋"/>
          <w:b/>
          <w:bCs/>
          <w:color w:val="auto"/>
          <w:sz w:val="30"/>
          <w:szCs w:val="30"/>
        </w:rPr>
        <w:t>“</w:t>
      </w:r>
      <w:r>
        <w:rPr>
          <w:rFonts w:hint="eastAsia" w:ascii="仿宋" w:hAnsi="仿宋" w:eastAsia="仿宋" w:cs="仿宋"/>
          <w:b/>
          <w:bCs/>
          <w:color w:val="auto"/>
          <w:sz w:val="30"/>
          <w:szCs w:val="30"/>
          <w:lang w:eastAsia="zh-CN"/>
        </w:rPr>
        <w:t>报价响应文件</w:t>
      </w:r>
      <w:r>
        <w:rPr>
          <w:rFonts w:hint="eastAsia" w:ascii="仿宋" w:hAnsi="仿宋" w:eastAsia="仿宋" w:cs="仿宋"/>
          <w:b/>
          <w:bCs/>
          <w:color w:val="auto"/>
          <w:sz w:val="30"/>
          <w:szCs w:val="30"/>
        </w:rPr>
        <w:t>”格式</w:t>
      </w:r>
    </w:p>
    <w:p>
      <w:pPr>
        <w:pStyle w:val="12"/>
        <w:numPr>
          <w:ilvl w:val="0"/>
          <w:numId w:val="0"/>
        </w:numPr>
        <w:rPr>
          <w:rFonts w:hint="eastAsia"/>
          <w:color w:val="auto"/>
        </w:rPr>
      </w:pPr>
    </w:p>
    <w:p>
      <w:pPr>
        <w:tabs>
          <w:tab w:val="left" w:leader="dot" w:pos="7380"/>
        </w:tabs>
        <w:snapToGrid w:val="0"/>
        <w:spacing w:line="324" w:lineRule="auto"/>
        <w:jc w:val="both"/>
        <w:outlineLvl w:val="2"/>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rPr>
        <w:t>格式</w:t>
      </w:r>
      <w:r>
        <w:rPr>
          <w:rFonts w:hint="eastAsia" w:ascii="仿宋" w:hAnsi="仿宋" w:eastAsia="仿宋" w:cs="仿宋"/>
          <w:b/>
          <w:bCs/>
          <w:color w:val="auto"/>
          <w:kern w:val="0"/>
          <w:sz w:val="24"/>
          <w:szCs w:val="24"/>
          <w:lang w:val="en-US" w:eastAsia="zh-CN"/>
        </w:rPr>
        <w:t>3-1</w:t>
      </w:r>
      <w:r>
        <w:rPr>
          <w:rFonts w:hint="eastAsia" w:ascii="仿宋" w:hAnsi="仿宋" w:cs="仿宋"/>
          <w:b/>
          <w:bCs/>
          <w:color w:val="auto"/>
          <w:sz w:val="24"/>
        </w:rPr>
        <w:t>:</w:t>
      </w:r>
      <w:r>
        <w:rPr>
          <w:rFonts w:hint="eastAsia" w:ascii="仿宋" w:hAnsi="仿宋" w:eastAsia="仿宋" w:cs="仿宋"/>
          <w:b/>
          <w:bCs/>
          <w:color w:val="auto"/>
          <w:sz w:val="24"/>
          <w:szCs w:val="24"/>
          <w:lang w:eastAsia="zh-CN"/>
        </w:rPr>
        <w:t>报价响应文件</w:t>
      </w:r>
      <w:r>
        <w:rPr>
          <w:rFonts w:hint="eastAsia" w:ascii="仿宋" w:hAnsi="仿宋" w:eastAsia="仿宋" w:cs="仿宋"/>
          <w:b/>
          <w:bCs/>
          <w:color w:val="auto"/>
          <w:sz w:val="24"/>
          <w:szCs w:val="24"/>
        </w:rPr>
        <w:t>封面</w:t>
      </w:r>
    </w:p>
    <w:p>
      <w:pPr>
        <w:tabs>
          <w:tab w:val="left" w:leader="dot" w:pos="7380"/>
        </w:tabs>
        <w:snapToGrid w:val="0"/>
        <w:spacing w:line="324" w:lineRule="auto"/>
        <w:jc w:val="left"/>
        <w:rPr>
          <w:rFonts w:hint="eastAsia" w:ascii="仿宋" w:hAnsi="仿宋" w:eastAsia="仿宋" w:cs="仿宋"/>
          <w:b/>
          <w:bCs/>
          <w:color w:val="auto"/>
          <w:sz w:val="32"/>
          <w:szCs w:val="32"/>
        </w:rPr>
      </w:pPr>
    </w:p>
    <w:p>
      <w:pPr>
        <w:pStyle w:val="12"/>
        <w:rPr>
          <w:rFonts w:hint="eastAsia"/>
        </w:rPr>
      </w:pPr>
    </w:p>
    <w:p>
      <w:pPr>
        <w:tabs>
          <w:tab w:val="left" w:leader="dot" w:pos="7380"/>
        </w:tabs>
        <w:snapToGrid w:val="0"/>
        <w:spacing w:line="324" w:lineRule="auto"/>
        <w:jc w:val="left"/>
        <w:rPr>
          <w:rFonts w:hint="eastAsia" w:ascii="仿宋" w:hAnsi="仿宋" w:eastAsia="仿宋" w:cs="仿宋"/>
          <w:b/>
          <w:bCs/>
          <w:color w:val="auto"/>
          <w:sz w:val="32"/>
          <w:szCs w:val="32"/>
        </w:rPr>
      </w:pPr>
    </w:p>
    <w:p>
      <w:pPr>
        <w:tabs>
          <w:tab w:val="left" w:leader="dot" w:pos="7380"/>
        </w:tabs>
        <w:snapToGrid w:val="0"/>
        <w:spacing w:line="324" w:lineRule="auto"/>
        <w:jc w:val="left"/>
        <w:rPr>
          <w:rFonts w:hint="eastAsia" w:ascii="仿宋" w:hAnsi="仿宋" w:eastAsia="仿宋" w:cs="仿宋"/>
          <w:b/>
          <w:bCs/>
          <w:color w:val="auto"/>
          <w:sz w:val="32"/>
          <w:szCs w:val="32"/>
        </w:rPr>
      </w:pPr>
    </w:p>
    <w:p>
      <w:pPr>
        <w:tabs>
          <w:tab w:val="left" w:leader="dot" w:pos="7380"/>
        </w:tabs>
        <w:snapToGrid w:val="0"/>
        <w:jc w:val="center"/>
        <w:rPr>
          <w:rFonts w:hint="eastAsia" w:ascii="仿宋" w:hAnsi="仿宋" w:eastAsia="仿宋" w:cs="仿宋"/>
          <w:b/>
          <w:bCs/>
          <w:color w:val="auto"/>
          <w:sz w:val="84"/>
          <w:szCs w:val="84"/>
        </w:rPr>
      </w:pPr>
      <w:r>
        <w:rPr>
          <w:rFonts w:hint="eastAsia" w:ascii="仿宋" w:hAnsi="仿宋" w:eastAsia="仿宋" w:cs="仿宋"/>
          <w:b/>
          <w:bCs/>
          <w:color w:val="auto"/>
          <w:sz w:val="84"/>
          <w:szCs w:val="84"/>
          <w:lang w:eastAsia="zh-CN"/>
        </w:rPr>
        <w:t>报价响应文件</w:t>
      </w:r>
    </w:p>
    <w:p>
      <w:pPr>
        <w:tabs>
          <w:tab w:val="left" w:leader="dot" w:pos="7380"/>
        </w:tabs>
        <w:snapToGrid w:val="0"/>
        <w:spacing w:line="324" w:lineRule="auto"/>
        <w:jc w:val="center"/>
        <w:rPr>
          <w:rFonts w:hint="eastAsia" w:ascii="仿宋" w:hAnsi="仿宋" w:eastAsia="仿宋" w:cs="仿宋"/>
          <w:b/>
          <w:bCs/>
          <w:color w:val="auto"/>
          <w:sz w:val="32"/>
          <w:szCs w:val="32"/>
        </w:rPr>
      </w:pPr>
    </w:p>
    <w:p>
      <w:pPr>
        <w:tabs>
          <w:tab w:val="left" w:pos="4005"/>
          <w:tab w:val="left" w:leader="dot" w:pos="7380"/>
        </w:tabs>
        <w:snapToGrid w:val="0"/>
        <w:spacing w:line="324"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pPr>
        <w:tabs>
          <w:tab w:val="left" w:pos="4005"/>
          <w:tab w:val="left" w:leader="dot" w:pos="7380"/>
        </w:tabs>
        <w:snapToGrid w:val="0"/>
        <w:spacing w:line="360" w:lineRule="auto"/>
        <w:rPr>
          <w:rFonts w:hint="eastAsia"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pPr>
        <w:widowControl/>
        <w:spacing w:line="360" w:lineRule="atLeast"/>
        <w:ind w:firstLine="643" w:firstLineChars="200"/>
        <w:jc w:val="both"/>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pPr>
        <w:pStyle w:val="12"/>
        <w:rPr>
          <w:rFonts w:hint="eastAsia" w:ascii="仿宋" w:hAnsi="仿宋" w:eastAsia="仿宋" w:cs="仿宋"/>
          <w:b/>
          <w:bCs/>
          <w:color w:val="auto"/>
          <w:sz w:val="32"/>
          <w:szCs w:val="32"/>
        </w:rPr>
      </w:pPr>
    </w:p>
    <w:p>
      <w:pPr>
        <w:widowControl/>
        <w:spacing w:line="360" w:lineRule="atLeast"/>
        <w:jc w:val="both"/>
        <w:rPr>
          <w:rFonts w:hint="eastAsia" w:ascii="宋体" w:hAnsi="宋体" w:eastAsia="宋体" w:cs="宋体"/>
          <w:b/>
          <w:bCs/>
          <w:color w:val="auto"/>
          <w:sz w:val="32"/>
          <w:szCs w:val="32"/>
        </w:rPr>
      </w:pPr>
    </w:p>
    <w:p>
      <w:pPr>
        <w:pStyle w:val="12"/>
        <w:rPr>
          <w:rFonts w:hint="eastAsia"/>
          <w:color w:val="auto"/>
        </w:rPr>
      </w:pPr>
    </w:p>
    <w:p>
      <w:pPr>
        <w:pStyle w:val="9"/>
        <w:rPr>
          <w:rFonts w:hint="eastAsia"/>
          <w:color w:val="auto"/>
        </w:rPr>
      </w:pPr>
    </w:p>
    <w:p>
      <w:pPr>
        <w:rPr>
          <w:rFonts w:hint="eastAsia"/>
          <w:color w:val="auto"/>
        </w:rPr>
      </w:pPr>
    </w:p>
    <w:p>
      <w:pPr>
        <w:pStyle w:val="12"/>
        <w:rPr>
          <w:rFonts w:hint="eastAsia"/>
          <w:color w:val="auto"/>
        </w:rPr>
      </w:pPr>
    </w:p>
    <w:p>
      <w:pPr>
        <w:pStyle w:val="12"/>
        <w:rPr>
          <w:rFonts w:hint="eastAsia"/>
          <w:color w:val="auto"/>
        </w:rPr>
      </w:pPr>
    </w:p>
    <w:p>
      <w:pPr>
        <w:rPr>
          <w:rFonts w:hint="eastAsia"/>
          <w:color w:val="auto"/>
        </w:rPr>
      </w:pPr>
    </w:p>
    <w:p>
      <w:pPr>
        <w:snapToGrid/>
        <w:spacing w:line="240" w:lineRule="auto"/>
        <w:jc w:val="left"/>
        <w:rPr>
          <w:rFonts w:hint="eastAsia" w:ascii="仿宋" w:hAnsi="仿宋" w:eastAsia="仿宋" w:cs="仿宋"/>
          <w:b/>
          <w:bCs/>
          <w:color w:val="auto"/>
          <w:sz w:val="24"/>
          <w:szCs w:val="24"/>
          <w:highlight w:val="none"/>
        </w:rPr>
      </w:pPr>
      <w:bookmarkStart w:id="118" w:name="_Toc14228"/>
      <w:bookmarkStart w:id="119" w:name="_Toc30261"/>
      <w:r>
        <w:rPr>
          <w:rFonts w:hint="eastAsia" w:ascii="仿宋" w:hAnsi="仿宋" w:eastAsia="仿宋" w:cs="仿宋"/>
          <w:b/>
          <w:bCs/>
          <w:color w:val="auto"/>
          <w:sz w:val="24"/>
          <w:szCs w:val="24"/>
          <w:highlight w:val="none"/>
        </w:rPr>
        <w:br w:type="page"/>
      </w:r>
    </w:p>
    <w:p>
      <w:pPr>
        <w:snapToGrid w:val="0"/>
        <w:spacing w:line="360" w:lineRule="auto"/>
        <w:jc w:val="both"/>
        <w:outlineLvl w:val="2"/>
        <w:rPr>
          <w:rFonts w:hint="eastAsia" w:ascii="仿宋" w:hAnsi="仿宋" w:eastAsia="仿宋" w:cs="仿宋"/>
          <w:b/>
          <w:bCs/>
          <w:color w:val="auto"/>
          <w:sz w:val="24"/>
          <w:lang w:eastAsia="zh-CN"/>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3-2</w:t>
      </w:r>
      <w:r>
        <w:rPr>
          <w:rFonts w:hint="eastAsia" w:ascii="仿宋" w:hAnsi="仿宋" w:cs="仿宋"/>
          <w:b/>
          <w:bCs/>
          <w:color w:val="auto"/>
          <w:sz w:val="24"/>
        </w:rPr>
        <w:t>:</w:t>
      </w:r>
      <w:r>
        <w:rPr>
          <w:rFonts w:hint="eastAsia" w:ascii="仿宋" w:hAnsi="仿宋" w:eastAsia="仿宋" w:cs="仿宋"/>
          <w:b/>
          <w:bCs/>
          <w:color w:val="auto"/>
          <w:sz w:val="24"/>
          <w:lang w:eastAsia="zh-CN"/>
        </w:rPr>
        <w:t>多轮报价一览表</w:t>
      </w:r>
    </w:p>
    <w:p>
      <w:pPr>
        <w:snapToGrid w:val="0"/>
        <w:spacing w:line="240" w:lineRule="auto"/>
        <w:jc w:val="center"/>
        <w:rPr>
          <w:rFonts w:hint="eastAsia" w:ascii="仿宋" w:hAnsi="仿宋" w:eastAsia="仿宋" w:cs="仿宋"/>
          <w:b/>
          <w:bCs/>
          <w:color w:val="auto"/>
          <w:spacing w:val="-2"/>
          <w:sz w:val="36"/>
          <w:szCs w:val="36"/>
        </w:rPr>
      </w:pPr>
      <w:r>
        <w:rPr>
          <w:rFonts w:hint="eastAsia" w:ascii="仿宋" w:hAnsi="仿宋" w:eastAsia="仿宋" w:cs="仿宋"/>
          <w:b/>
          <w:bCs/>
          <w:color w:val="auto"/>
          <w:sz w:val="36"/>
          <w:szCs w:val="36"/>
          <w:lang w:eastAsia="zh-CN"/>
        </w:rPr>
        <w:t>多轮报价一览表</w:t>
      </w:r>
    </w:p>
    <w:p>
      <w:pPr>
        <w:widowControl/>
        <w:spacing w:line="240" w:lineRule="auto"/>
        <w:jc w:val="center"/>
        <w:outlineLvl w:val="9"/>
        <w:rPr>
          <w:rFonts w:hint="eastAsia" w:ascii="仿宋" w:hAnsi="仿宋" w:eastAsia="仿宋" w:cs="仿宋"/>
          <w:color w:val="auto"/>
          <w:sz w:val="24"/>
          <w:szCs w:val="24"/>
        </w:rPr>
      </w:pPr>
      <w:r>
        <w:rPr>
          <w:rFonts w:hint="eastAsia" w:ascii="仿宋" w:hAnsi="仿宋" w:eastAsia="仿宋" w:cs="仿宋"/>
          <w:color w:val="auto"/>
          <w:sz w:val="24"/>
          <w:szCs w:val="24"/>
        </w:rPr>
        <w:t>（实质性要求）</w:t>
      </w:r>
    </w:p>
    <w:p>
      <w:pPr>
        <w:spacing w:after="120" w:line="240" w:lineRule="auto"/>
        <w:jc w:val="both"/>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000000" w:themeColor="text1"/>
          <w:sz w:val="21"/>
          <w:szCs w:val="21"/>
          <w:highlight w:val="none"/>
          <w14:textFill>
            <w14:solidFill>
              <w14:schemeClr w14:val="tx1"/>
            </w14:solidFill>
          </w14:textFill>
        </w:rPr>
        <w:t>项目编号：JRZB-2024-Q066</w:t>
      </w:r>
    </w:p>
    <w:p>
      <w:pPr>
        <w:spacing w:after="120" w:line="240" w:lineRule="auto"/>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项目名称：富顺县中医医院CT袋、DR袋、药袋、黄色医疗垃圾袋等采购项目</w:t>
      </w:r>
    </w:p>
    <w:p>
      <w:pPr>
        <w:pStyle w:val="24"/>
        <w:ind w:left="0" w:leftChars="0" w:firstLine="0" w:firstLineChars="0"/>
        <w:rPr>
          <w:rFonts w:hint="eastAsia"/>
        </w:rPr>
      </w:pPr>
    </w:p>
    <w:tbl>
      <w:tblPr>
        <w:tblStyle w:val="26"/>
        <w:tblpPr w:leftFromText="180" w:rightFromText="180" w:vertAnchor="text" w:horzAnchor="margin" w:tblpXSpec="center" w:tblpY="-11"/>
        <w:tblOverlap w:val="never"/>
        <w:tblW w:w="10261" w:type="dxa"/>
        <w:jc w:val="center"/>
        <w:tblLayout w:type="fixed"/>
        <w:tblCellMar>
          <w:top w:w="15" w:type="dxa"/>
          <w:left w:w="15" w:type="dxa"/>
          <w:bottom w:w="15" w:type="dxa"/>
          <w:right w:w="15" w:type="dxa"/>
        </w:tblCellMar>
      </w:tblPr>
      <w:tblGrid>
        <w:gridCol w:w="510"/>
        <w:gridCol w:w="2685"/>
        <w:gridCol w:w="1215"/>
        <w:gridCol w:w="1560"/>
        <w:gridCol w:w="1095"/>
        <w:gridCol w:w="885"/>
        <w:gridCol w:w="1125"/>
        <w:gridCol w:w="1186"/>
      </w:tblGrid>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sz w:val="18"/>
                <w:szCs w:val="18"/>
                <w:highlight w:val="none"/>
                <w:lang w:val="en-US" w:eastAsia="zh-CN"/>
              </w:rPr>
            </w:pPr>
            <w:r>
              <w:rPr>
                <w:rFonts w:hint="eastAsia" w:ascii="仿宋" w:hAnsi="仿宋" w:eastAsia="仿宋" w:cs="仿宋"/>
                <w:b/>
                <w:bCs/>
                <w:i w:val="0"/>
                <w:iCs w:val="0"/>
                <w:color w:val="000000"/>
                <w:kern w:val="0"/>
                <w:sz w:val="18"/>
                <w:szCs w:val="18"/>
                <w:highlight w:val="none"/>
                <w:u w:val="none"/>
                <w:lang w:val="en-US" w:eastAsia="zh-CN" w:bidi="ar"/>
              </w:rPr>
              <w:t>标的号</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b/>
                <w:bCs/>
                <w:i w:val="0"/>
                <w:iCs w:val="0"/>
                <w:color w:val="000000"/>
                <w:kern w:val="0"/>
                <w:sz w:val="18"/>
                <w:szCs w:val="18"/>
                <w:highlight w:val="none"/>
                <w:u w:val="none"/>
                <w:lang w:val="en-US" w:eastAsia="zh-CN" w:bidi="ar"/>
              </w:rPr>
              <w:t>标的名称</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b/>
                <w:bCs/>
                <w:i w:val="0"/>
                <w:iCs w:val="0"/>
                <w:color w:val="000000"/>
                <w:kern w:val="0"/>
                <w:sz w:val="18"/>
                <w:szCs w:val="18"/>
                <w:highlight w:val="none"/>
                <w:u w:val="none"/>
                <w:lang w:val="en-US" w:eastAsia="zh-CN" w:bidi="ar"/>
              </w:rPr>
              <w:t>袋子厚度</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b/>
                <w:bCs/>
                <w:i w:val="0"/>
                <w:iCs w:val="0"/>
                <w:color w:val="000000"/>
                <w:kern w:val="0"/>
                <w:sz w:val="18"/>
                <w:szCs w:val="18"/>
                <w:highlight w:val="none"/>
                <w:u w:val="none"/>
                <w:lang w:val="en-US" w:eastAsia="zh-CN" w:bidi="ar"/>
              </w:rPr>
              <w:t>型号（mm）</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b/>
                <w:bCs/>
                <w:i w:val="0"/>
                <w:iCs w:val="0"/>
                <w:color w:val="000000"/>
                <w:kern w:val="0"/>
                <w:sz w:val="18"/>
                <w:szCs w:val="18"/>
                <w:highlight w:val="none"/>
                <w:u w:val="none"/>
                <w:lang w:val="en-US" w:eastAsia="zh-CN" w:bidi="ar"/>
              </w:rPr>
              <w:t>预计数量</w:t>
            </w:r>
            <w:r>
              <w:rPr>
                <w:rFonts w:hint="eastAsia" w:ascii="仿宋" w:hAnsi="仿宋" w:eastAsia="仿宋" w:cs="仿宋"/>
                <w:b/>
                <w:bCs/>
                <w:i w:val="0"/>
                <w:iCs w:val="0"/>
                <w:color w:val="000000"/>
                <w:kern w:val="0"/>
                <w:sz w:val="18"/>
                <w:szCs w:val="18"/>
                <w:highlight w:val="none"/>
                <w:u w:val="none"/>
                <w:lang w:val="en-US" w:eastAsia="zh-CN" w:bidi="ar"/>
              </w:rPr>
              <w:br w:type="textWrapping"/>
            </w:r>
            <w:r>
              <w:rPr>
                <w:rFonts w:hint="eastAsia" w:ascii="仿宋" w:hAnsi="仿宋" w:eastAsia="仿宋" w:cs="仿宋"/>
                <w:b/>
                <w:bCs/>
                <w:i w:val="0"/>
                <w:iCs w:val="0"/>
                <w:color w:val="000000"/>
                <w:kern w:val="0"/>
                <w:sz w:val="18"/>
                <w:szCs w:val="18"/>
                <w:highlight w:val="none"/>
                <w:u w:val="none"/>
                <w:lang w:val="en-US" w:eastAsia="zh-CN" w:bidi="ar"/>
              </w:rPr>
              <w:t>（份）</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b/>
                <w:bCs/>
                <w:i w:val="0"/>
                <w:iCs w:val="0"/>
                <w:color w:val="000000"/>
                <w:kern w:val="0"/>
                <w:sz w:val="18"/>
                <w:szCs w:val="18"/>
                <w:highlight w:val="none"/>
                <w:u w:val="none"/>
                <w:lang w:val="en-US" w:eastAsia="zh-CN" w:bidi="ar"/>
              </w:rPr>
              <w:t>每份限价</w:t>
            </w:r>
            <w:r>
              <w:rPr>
                <w:rFonts w:hint="eastAsia" w:ascii="仿宋" w:hAnsi="仿宋" w:eastAsia="仿宋" w:cs="仿宋"/>
                <w:b/>
                <w:bCs/>
                <w:i w:val="0"/>
                <w:iCs w:val="0"/>
                <w:color w:val="000000"/>
                <w:kern w:val="0"/>
                <w:sz w:val="18"/>
                <w:szCs w:val="18"/>
                <w:highlight w:val="none"/>
                <w:u w:val="none"/>
                <w:lang w:val="en-US" w:eastAsia="zh-CN" w:bidi="ar"/>
              </w:rPr>
              <w:br w:type="textWrapping"/>
            </w:r>
            <w:r>
              <w:rPr>
                <w:rFonts w:hint="eastAsia" w:ascii="仿宋" w:hAnsi="仿宋" w:eastAsia="仿宋" w:cs="仿宋"/>
                <w:b/>
                <w:bCs/>
                <w:i w:val="0"/>
                <w:iCs w:val="0"/>
                <w:color w:val="000000"/>
                <w:kern w:val="0"/>
                <w:sz w:val="18"/>
                <w:szCs w:val="18"/>
                <w:highlight w:val="none"/>
                <w:u w:val="none"/>
                <w:lang w:val="en-US" w:eastAsia="zh-CN" w:bidi="ar"/>
              </w:rPr>
              <w:t>（元）</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kern w:val="0"/>
                <w:sz w:val="18"/>
                <w:szCs w:val="18"/>
                <w:highlight w:val="none"/>
                <w:u w:val="none"/>
                <w:lang w:val="en-US" w:eastAsia="zh-CN" w:bidi="ar"/>
              </w:rPr>
            </w:pPr>
            <w:r>
              <w:rPr>
                <w:rFonts w:hint="eastAsia" w:ascii="仿宋" w:hAnsi="仿宋" w:eastAsia="仿宋" w:cs="仿宋"/>
                <w:b/>
                <w:bCs/>
                <w:i w:val="0"/>
                <w:iCs w:val="0"/>
                <w:color w:val="000000"/>
                <w:kern w:val="0"/>
                <w:sz w:val="18"/>
                <w:szCs w:val="18"/>
                <w:highlight w:val="none"/>
                <w:u w:val="none"/>
                <w:lang w:val="en-US" w:eastAsia="zh-CN" w:bidi="ar"/>
              </w:rPr>
              <w:t>每份单价</w:t>
            </w:r>
          </w:p>
          <w:p>
            <w:pPr>
              <w:pStyle w:val="12"/>
              <w:keepNext w:val="0"/>
              <w:keepLines w:val="0"/>
              <w:pageBreakBefore w:val="0"/>
              <w:widowControl w:val="0"/>
              <w:kinsoku/>
              <w:wordWrap/>
              <w:overflowPunct/>
              <w:topLinePunct w:val="0"/>
              <w:autoSpaceDE/>
              <w:autoSpaceDN/>
              <w:bidi w:val="0"/>
              <w:adjustRightInd/>
              <w:snapToGrid/>
              <w:spacing w:line="240" w:lineRule="auto"/>
              <w:jc w:val="center"/>
              <w:rPr>
                <w:rFonts w:hint="eastAsia" w:ascii="仿宋" w:hAnsi="仿宋" w:eastAsia="仿宋" w:cs="仿宋"/>
                <w:sz w:val="18"/>
                <w:szCs w:val="18"/>
                <w:highlight w:val="none"/>
                <w:lang w:val="en-US" w:eastAsia="zh-CN"/>
              </w:rPr>
            </w:pPr>
            <w:r>
              <w:rPr>
                <w:rFonts w:hint="eastAsia" w:ascii="仿宋" w:hAnsi="仿宋" w:eastAsia="仿宋" w:cs="仿宋"/>
                <w:b/>
                <w:bCs/>
                <w:i w:val="0"/>
                <w:iCs w:val="0"/>
                <w:color w:val="000000"/>
                <w:kern w:val="0"/>
                <w:sz w:val="18"/>
                <w:szCs w:val="18"/>
                <w:highlight w:val="none"/>
                <w:u w:val="none"/>
                <w:lang w:val="en-US" w:eastAsia="zh-CN" w:bidi="ar"/>
              </w:rPr>
              <w:t>（元）</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kern w:val="0"/>
                <w:sz w:val="18"/>
                <w:szCs w:val="18"/>
                <w:highlight w:val="none"/>
                <w:u w:val="none"/>
                <w:lang w:val="en-US" w:eastAsia="zh-CN" w:bidi="ar"/>
              </w:rPr>
            </w:pPr>
            <w:r>
              <w:rPr>
                <w:rFonts w:hint="eastAsia" w:ascii="仿宋" w:hAnsi="仿宋" w:eastAsia="仿宋" w:cs="仿宋"/>
                <w:b/>
                <w:bCs/>
                <w:i w:val="0"/>
                <w:iCs w:val="0"/>
                <w:color w:val="000000"/>
                <w:kern w:val="0"/>
                <w:sz w:val="18"/>
                <w:szCs w:val="18"/>
                <w:highlight w:val="none"/>
                <w:u w:val="none"/>
                <w:lang w:val="en-US" w:eastAsia="zh-CN" w:bidi="ar"/>
              </w:rPr>
              <w:t>单项总价</w:t>
            </w:r>
          </w:p>
          <w:p>
            <w:pPr>
              <w:pStyle w:val="12"/>
              <w:keepNext w:val="0"/>
              <w:keepLines w:val="0"/>
              <w:pageBreakBefore w:val="0"/>
              <w:widowControl w:val="0"/>
              <w:kinsoku/>
              <w:wordWrap/>
              <w:overflowPunct/>
              <w:topLinePunct w:val="0"/>
              <w:autoSpaceDE/>
              <w:autoSpaceDN/>
              <w:bidi w:val="0"/>
              <w:adjustRightInd/>
              <w:snapToGrid/>
              <w:spacing w:line="240" w:lineRule="auto"/>
              <w:jc w:val="center"/>
              <w:rPr>
                <w:rFonts w:hint="eastAsia" w:ascii="仿宋" w:hAnsi="仿宋" w:eastAsia="仿宋" w:cs="仿宋"/>
                <w:sz w:val="18"/>
                <w:szCs w:val="18"/>
                <w:highlight w:val="none"/>
                <w:lang w:val="en-US" w:eastAsia="zh-CN"/>
              </w:rPr>
            </w:pPr>
            <w:r>
              <w:rPr>
                <w:rFonts w:hint="eastAsia" w:ascii="仿宋" w:hAnsi="仿宋" w:eastAsia="仿宋" w:cs="仿宋"/>
                <w:b/>
                <w:bCs/>
                <w:i w:val="0"/>
                <w:iCs w:val="0"/>
                <w:color w:val="000000"/>
                <w:kern w:val="0"/>
                <w:sz w:val="18"/>
                <w:szCs w:val="18"/>
                <w:highlight w:val="none"/>
                <w:u w:val="none"/>
                <w:lang w:val="en-US" w:eastAsia="zh-CN" w:bidi="ar"/>
              </w:rPr>
              <w:t>（元）</w:t>
            </w: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CT片袋</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390×510</w:t>
            </w:r>
          </w:p>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270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DR片袋</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310×480</w:t>
            </w:r>
          </w:p>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210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煎药袋（大）</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40g每平方米及以上无纺布</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450×320</w:t>
            </w:r>
          </w:p>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780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煎药袋（中）</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40g每平方米及以上无纺布</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350×250</w:t>
            </w:r>
          </w:p>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16*1000个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486</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煎药袋（小）</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40g每平方米及以上无纺布</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200×150</w:t>
            </w:r>
          </w:p>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295</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6</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药房袋子（小号）</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(200+55*2)×330（±2%）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320*1000个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47</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药房袋子（大号）</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（300+75*2）×480（±2%）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149.84*1000个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8</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中号白色垃圾袋（48#）</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600*650（±2%）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220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小号黄色医疗垃圾袋（34#）</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500*520（±2%）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33*1000个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170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中号黄色医疗垃圾袋（48#）</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600*650（±2%）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82*1000个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260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11</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平口大号黄色医疗垃圾袋（90#）</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900*1100（±2%）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860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12</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小号黑色垃圾袋（34#）</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500*520（±2%）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500*1000个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85</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13</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中号黑色垃圾袋（48#）</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700*730（±2%）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14</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大号黑色垃圾袋（55#）</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750*800（±2%）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15</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平口大号黑色垃圾袋（90#）</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900*1100（±2%）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16</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中号橘红色垃圾袋（48#）</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650*650（±2%）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17</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平口大号橘红色垃圾袋（90#）</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900*1100（±2%）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18</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平口特大号白色垃圾袋</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1200*1400</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1500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19</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平口特大号黄色医废垃圾袋</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1200*1400</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1500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平口特大号黑色垃圾袋</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1200*1400</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8.2*1000个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1400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21</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超市食品包装袋（小号）</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(250+60*2)×380（±2%）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15*1000个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60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22</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超市食品包装袋（大号）</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（300+75*2）×480（±2%）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15*1000个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120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1020" w:hRule="exact"/>
          <w:jc w:val="center"/>
        </w:trPr>
        <w:tc>
          <w:tcPr>
            <w:tcW w:w="10261"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sz w:val="18"/>
                <w:szCs w:val="18"/>
                <w:highlight w:val="none"/>
              </w:rPr>
            </w:pPr>
          </w:p>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sz w:val="18"/>
                <w:szCs w:val="18"/>
                <w:highlight w:val="none"/>
                <w:u w:val="none"/>
                <w:lang w:val="en-US" w:eastAsia="zh-CN"/>
              </w:rPr>
            </w:pPr>
            <w:r>
              <w:rPr>
                <w:rFonts w:hint="eastAsia" w:ascii="仿宋" w:hAnsi="仿宋" w:eastAsia="仿宋" w:cs="仿宋"/>
                <w:color w:val="auto"/>
                <w:sz w:val="18"/>
                <w:szCs w:val="18"/>
                <w:highlight w:val="none"/>
              </w:rPr>
              <w:t>报价总价（小写金额）</w:t>
            </w:r>
            <w:r>
              <w:rPr>
                <w:rFonts w:hint="eastAsia" w:ascii="仿宋" w:hAnsi="仿宋" w:eastAsia="仿宋" w:cs="仿宋"/>
                <w:color w:val="auto"/>
                <w:sz w:val="18"/>
                <w:szCs w:val="18"/>
                <w:highlight w:val="none"/>
                <w:lang w:eastAsia="zh-CN"/>
              </w:rPr>
              <w:t>：</w:t>
            </w:r>
            <w:r>
              <w:rPr>
                <w:rFonts w:hint="eastAsia" w:ascii="仿宋" w:hAnsi="仿宋" w:eastAsia="仿宋" w:cs="仿宋"/>
                <w:color w:val="auto"/>
                <w:sz w:val="18"/>
                <w:szCs w:val="18"/>
                <w:highlight w:val="none"/>
                <w:u w:val="single"/>
                <w:lang w:val="en-US" w:eastAsia="zh-CN"/>
              </w:rPr>
              <w:t xml:space="preserve">                         </w:t>
            </w:r>
            <w:r>
              <w:rPr>
                <w:rFonts w:hint="eastAsia" w:ascii="仿宋" w:hAnsi="仿宋" w:eastAsia="仿宋" w:cs="仿宋"/>
                <w:color w:val="auto"/>
                <w:sz w:val="18"/>
                <w:szCs w:val="18"/>
                <w:highlight w:val="none"/>
                <w:u w:val="none"/>
                <w:lang w:val="en-US" w:eastAsia="zh-CN"/>
              </w:rPr>
              <w:t>元；下浮比例</w:t>
            </w:r>
            <w:r>
              <w:rPr>
                <w:rFonts w:hint="eastAsia" w:ascii="仿宋" w:hAnsi="仿宋" w:eastAsia="仿宋" w:cs="仿宋"/>
                <w:color w:val="auto"/>
                <w:sz w:val="18"/>
                <w:szCs w:val="18"/>
                <w:highlight w:val="none"/>
                <w:u w:val="single"/>
                <w:lang w:val="en-US" w:eastAsia="zh-CN"/>
              </w:rPr>
              <w:t xml:space="preserve">                         %</w:t>
            </w:r>
            <w:r>
              <w:rPr>
                <w:rFonts w:hint="eastAsia" w:ascii="仿宋" w:hAnsi="仿宋" w:eastAsia="仿宋" w:cs="仿宋"/>
                <w:color w:val="auto"/>
                <w:sz w:val="18"/>
                <w:szCs w:val="18"/>
                <w:highlight w:val="none"/>
                <w:u w:val="none"/>
                <w:lang w:val="en-US" w:eastAsia="zh-CN"/>
              </w:rPr>
              <w:t>（保留小数点后两位数）</w:t>
            </w:r>
          </w:p>
          <w:p>
            <w:pPr>
              <w:pStyle w:val="12"/>
              <w:keepNext w:val="0"/>
              <w:keepLines w:val="0"/>
              <w:pageBreakBefore w:val="0"/>
              <w:widowControl w:val="0"/>
              <w:kinsoku/>
              <w:wordWrap/>
              <w:overflowPunct/>
              <w:topLinePunct w:val="0"/>
              <w:autoSpaceDE/>
              <w:autoSpaceDN/>
              <w:bidi w:val="0"/>
              <w:adjustRightInd/>
              <w:snapToGrid/>
              <w:spacing w:line="240" w:lineRule="auto"/>
              <w:rPr>
                <w:rFonts w:hint="eastAsia" w:ascii="仿宋" w:hAnsi="仿宋" w:eastAsia="仿宋" w:cs="仿宋"/>
                <w:color w:val="auto"/>
                <w:sz w:val="18"/>
                <w:szCs w:val="18"/>
                <w:highlight w:val="none"/>
              </w:rPr>
            </w:pPr>
          </w:p>
          <w:p>
            <w:pPr>
              <w:pStyle w:val="12"/>
              <w:keepNext w:val="0"/>
              <w:keepLines w:val="0"/>
              <w:pageBreakBefore w:val="0"/>
              <w:widowControl w:val="0"/>
              <w:kinsoku/>
              <w:wordWrap/>
              <w:overflowPunct/>
              <w:topLinePunct w:val="0"/>
              <w:autoSpaceDE/>
              <w:autoSpaceDN/>
              <w:bidi w:val="0"/>
              <w:adjustRightInd/>
              <w:snapToGrid/>
              <w:spacing w:line="240" w:lineRule="auto"/>
              <w:rPr>
                <w:rFonts w:hint="eastAsia" w:ascii="仿宋" w:hAnsi="仿宋" w:eastAsia="仿宋" w:cs="仿宋"/>
                <w:sz w:val="18"/>
                <w:szCs w:val="18"/>
                <w:highlight w:val="none"/>
                <w:lang w:val="en-US" w:eastAsia="zh-CN"/>
              </w:rPr>
            </w:pPr>
            <w:r>
              <w:rPr>
                <w:rFonts w:hint="eastAsia" w:ascii="仿宋" w:hAnsi="仿宋" w:eastAsia="仿宋" w:cs="仿宋"/>
                <w:color w:val="auto"/>
                <w:sz w:val="18"/>
                <w:szCs w:val="18"/>
                <w:highlight w:val="none"/>
              </w:rPr>
              <w:t>报价总价（大写金额）：</w:t>
            </w:r>
            <w:r>
              <w:rPr>
                <w:rFonts w:hint="eastAsia" w:ascii="仿宋" w:hAnsi="仿宋" w:eastAsia="仿宋" w:cs="仿宋"/>
                <w:color w:val="auto"/>
                <w:sz w:val="18"/>
                <w:szCs w:val="18"/>
                <w:highlight w:val="none"/>
                <w:u w:val="single"/>
                <w:lang w:val="en-US" w:eastAsia="zh-CN"/>
              </w:rPr>
              <w:t xml:space="preserve">                                                                                        </w:t>
            </w:r>
            <w:r>
              <w:rPr>
                <w:rFonts w:hint="eastAsia" w:ascii="仿宋" w:hAnsi="仿宋" w:eastAsia="仿宋" w:cs="仿宋"/>
                <w:color w:val="auto"/>
                <w:sz w:val="18"/>
                <w:szCs w:val="18"/>
                <w:highlight w:val="none"/>
                <w:u w:val="none"/>
                <w:lang w:val="en-US" w:eastAsia="zh-CN"/>
              </w:rPr>
              <w:t xml:space="preserve">    </w:t>
            </w:r>
          </w:p>
        </w:tc>
      </w:tr>
    </w:tbl>
    <w:p>
      <w:pPr>
        <w:spacing w:line="360" w:lineRule="auto"/>
        <w:ind w:firstLine="0" w:firstLineChars="0"/>
        <w:rPr>
          <w:rFonts w:hint="eastAsia" w:ascii="仿宋" w:hAnsi="仿宋" w:eastAsia="仿宋" w:cs="仿宋"/>
          <w:color w:val="auto"/>
          <w:sz w:val="24"/>
        </w:rPr>
      </w:pPr>
    </w:p>
    <w:p>
      <w:pPr>
        <w:spacing w:line="360" w:lineRule="auto"/>
        <w:ind w:firstLine="0" w:firstLineChars="0"/>
        <w:rPr>
          <w:rFonts w:hint="eastAsia" w:ascii="仿宋" w:hAnsi="仿宋" w:eastAsia="仿宋" w:cs="仿宋"/>
          <w:color w:val="auto"/>
          <w:sz w:val="24"/>
        </w:rPr>
      </w:pPr>
      <w:r>
        <w:rPr>
          <w:rFonts w:hint="eastAsia" w:ascii="仿宋" w:hAnsi="仿宋" w:eastAsia="仿宋" w:cs="仿宋"/>
          <w:color w:val="auto"/>
          <w:sz w:val="24"/>
        </w:rPr>
        <w:t>注：</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pPr>
        <w:spacing w:line="360" w:lineRule="auto"/>
        <w:ind w:firstLine="480" w:firstLineChars="200"/>
        <w:rPr>
          <w:bCs/>
          <w:color w:val="auto"/>
        </w:rPr>
      </w:pPr>
      <w:r>
        <w:rPr>
          <w:rFonts w:hint="eastAsia" w:ascii="仿宋" w:hAnsi="仿宋" w:cs="仿宋"/>
          <w:b w:val="0"/>
          <w:bCs/>
          <w:color w:val="auto"/>
          <w:sz w:val="24"/>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w:t>
      </w:r>
      <w:r>
        <w:rPr>
          <w:rFonts w:hint="eastAsia" w:ascii="仿宋" w:hAnsi="仿宋" w:eastAsia="仿宋" w:cs="仿宋"/>
          <w:b w:val="0"/>
          <w:bCs/>
          <w:color w:val="auto"/>
          <w:sz w:val="24"/>
        </w:rPr>
        <w:t>需</w:t>
      </w:r>
      <w:r>
        <w:rPr>
          <w:rFonts w:hint="eastAsia" w:ascii="仿宋" w:hAnsi="仿宋" w:eastAsia="仿宋" w:cs="仿宋"/>
          <w:b w:val="0"/>
          <w:bCs/>
          <w:color w:val="auto"/>
          <w:sz w:val="24"/>
          <w:lang w:eastAsia="zh-CN"/>
        </w:rPr>
        <w:t>填写完整并</w:t>
      </w:r>
      <w:r>
        <w:rPr>
          <w:rFonts w:hint="eastAsia" w:ascii="仿宋" w:hAnsi="仿宋" w:eastAsia="仿宋" w:cs="仿宋"/>
          <w:b w:val="0"/>
          <w:bCs/>
          <w:color w:val="auto"/>
          <w:sz w:val="24"/>
        </w:rPr>
        <w:t>装订入其他响应文件中。</w:t>
      </w:r>
    </w:p>
    <w:p>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3.单价为每份报价，1份为1000个袋子。</w:t>
      </w:r>
    </w:p>
    <w:p>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4.单价：每份单价按照同比例下浮报价，保留小数点后两位。</w:t>
      </w:r>
    </w:p>
    <w:p>
      <w:pPr>
        <w:spacing w:line="360" w:lineRule="auto"/>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5.报价总价不保留小数。</w:t>
      </w:r>
    </w:p>
    <w:p>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6.未按以上要求报价无效。</w:t>
      </w:r>
    </w:p>
    <w:p>
      <w:pPr>
        <w:spacing w:line="360" w:lineRule="auto"/>
        <w:ind w:firstLine="0" w:firstLineChars="0"/>
        <w:rPr>
          <w:rFonts w:hint="eastAsia" w:ascii="仿宋" w:hAnsi="仿宋" w:eastAsia="仿宋" w:cs="仿宋"/>
          <w:color w:val="auto"/>
          <w:sz w:val="24"/>
        </w:rPr>
      </w:pPr>
    </w:p>
    <w:p>
      <w:pPr>
        <w:snapToGrid w:val="0"/>
        <w:spacing w:line="360" w:lineRule="auto"/>
        <w:ind w:firstLine="480" w:firstLineChars="200"/>
        <w:jc w:val="left"/>
        <w:rPr>
          <w:rFonts w:hint="eastAsia" w:ascii="仿宋" w:hAnsi="仿宋" w:eastAsia="仿宋" w:cs="仿宋"/>
          <w:bCs/>
          <w:color w:val="auto"/>
          <w:sz w:val="24"/>
        </w:rPr>
      </w:pP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p>
    <w:p>
      <w:pPr>
        <w:rPr>
          <w:rFonts w:hint="eastAsia" w:ascii="仿宋" w:hAnsi="仿宋" w:eastAsia="仿宋" w:cs="仿宋"/>
          <w:bCs/>
          <w:color w:val="auto"/>
          <w:sz w:val="24"/>
        </w:rPr>
      </w:pPr>
      <w:r>
        <w:rPr>
          <w:rFonts w:hint="eastAsia" w:ascii="仿宋" w:hAnsi="仿宋" w:eastAsia="仿宋" w:cs="仿宋"/>
          <w:bCs/>
          <w:color w:val="auto"/>
          <w:sz w:val="24"/>
        </w:rPr>
        <w:br w:type="page"/>
      </w:r>
    </w:p>
    <w:p>
      <w:pPr>
        <w:snapToGrid w:val="0"/>
        <w:spacing w:line="360" w:lineRule="auto"/>
        <w:jc w:val="left"/>
        <w:outlineLvl w:val="2"/>
        <w:rPr>
          <w:rFonts w:ascii="仿宋" w:hAnsi="仿宋" w:eastAsia="仿宋" w:cs="仿宋"/>
          <w:bCs/>
          <w:sz w:val="24"/>
          <w:szCs w:val="22"/>
        </w:rPr>
      </w:pPr>
      <w:r>
        <w:rPr>
          <w:rFonts w:hint="eastAsia" w:ascii="仿宋" w:hAnsi="仿宋" w:eastAsia="仿宋" w:cs="仿宋"/>
          <w:b/>
          <w:bCs/>
          <w:sz w:val="24"/>
        </w:rPr>
        <w:t>格式3-3:最后报价一览表</w:t>
      </w:r>
    </w:p>
    <w:p>
      <w:pPr>
        <w:widowControl/>
        <w:snapToGrid w:val="0"/>
        <w:spacing w:line="360" w:lineRule="auto"/>
        <w:jc w:val="center"/>
        <w:rPr>
          <w:rFonts w:ascii="仿宋" w:hAnsi="仿宋" w:eastAsia="仿宋" w:cs="仿宋"/>
          <w:b/>
          <w:bCs/>
          <w:sz w:val="24"/>
        </w:rPr>
      </w:pPr>
      <w:r>
        <w:rPr>
          <w:rFonts w:hint="eastAsia" w:ascii="仿宋" w:hAnsi="仿宋" w:eastAsia="仿宋" w:cs="仿宋"/>
          <w:b/>
          <w:bCs/>
          <w:sz w:val="36"/>
          <w:szCs w:val="36"/>
        </w:rPr>
        <w:t>最后报价一览表</w:t>
      </w:r>
    </w:p>
    <w:p>
      <w:pPr>
        <w:pStyle w:val="116"/>
        <w:widowControl/>
        <w:spacing w:line="480" w:lineRule="auto"/>
        <w:ind w:firstLine="0"/>
        <w:jc w:val="center"/>
        <w:rPr>
          <w:rFonts w:hint="eastAsia" w:ascii="仿宋" w:hAnsi="仿宋" w:eastAsia="仿宋" w:cs="仿宋"/>
          <w:sz w:val="24"/>
          <w:szCs w:val="24"/>
        </w:rPr>
      </w:pPr>
      <w:r>
        <w:rPr>
          <w:rFonts w:hint="eastAsia" w:ascii="仿宋" w:hAnsi="仿宋" w:eastAsia="仿宋" w:cs="仿宋"/>
          <w:sz w:val="24"/>
          <w:szCs w:val="24"/>
        </w:rPr>
        <w:t>（实质性要求）</w:t>
      </w:r>
    </w:p>
    <w:p>
      <w:pPr>
        <w:spacing w:after="120" w:line="240" w:lineRule="auto"/>
        <w:jc w:val="both"/>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000000" w:themeColor="text1"/>
          <w:sz w:val="21"/>
          <w:szCs w:val="21"/>
          <w:highlight w:val="none"/>
          <w14:textFill>
            <w14:solidFill>
              <w14:schemeClr w14:val="tx1"/>
            </w14:solidFill>
          </w14:textFill>
        </w:rPr>
        <w:t>项目编号：JRZB-2024-Q066</w:t>
      </w:r>
    </w:p>
    <w:p>
      <w:pPr>
        <w:spacing w:after="120" w:line="240" w:lineRule="auto"/>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项目名称：富顺县中医医院CT袋、DR袋、药袋、黄色医疗垃圾袋等采购项目</w:t>
      </w:r>
    </w:p>
    <w:p>
      <w:pPr>
        <w:pStyle w:val="24"/>
        <w:ind w:left="0" w:leftChars="0" w:firstLine="0" w:firstLineChars="0"/>
        <w:rPr>
          <w:rFonts w:hint="eastAsia"/>
        </w:rPr>
      </w:pPr>
    </w:p>
    <w:tbl>
      <w:tblPr>
        <w:tblStyle w:val="26"/>
        <w:tblpPr w:leftFromText="180" w:rightFromText="180" w:vertAnchor="text" w:horzAnchor="margin" w:tblpXSpec="center" w:tblpY="-11"/>
        <w:tblOverlap w:val="never"/>
        <w:tblW w:w="10261" w:type="dxa"/>
        <w:jc w:val="center"/>
        <w:tblLayout w:type="fixed"/>
        <w:tblCellMar>
          <w:top w:w="15" w:type="dxa"/>
          <w:left w:w="15" w:type="dxa"/>
          <w:bottom w:w="15" w:type="dxa"/>
          <w:right w:w="15" w:type="dxa"/>
        </w:tblCellMar>
      </w:tblPr>
      <w:tblGrid>
        <w:gridCol w:w="510"/>
        <w:gridCol w:w="2685"/>
        <w:gridCol w:w="1215"/>
        <w:gridCol w:w="1560"/>
        <w:gridCol w:w="1095"/>
        <w:gridCol w:w="885"/>
        <w:gridCol w:w="1125"/>
        <w:gridCol w:w="1186"/>
      </w:tblGrid>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sz w:val="18"/>
                <w:szCs w:val="18"/>
                <w:highlight w:val="none"/>
                <w:lang w:val="en-US" w:eastAsia="zh-CN"/>
              </w:rPr>
            </w:pPr>
            <w:r>
              <w:rPr>
                <w:rFonts w:hint="eastAsia" w:ascii="仿宋" w:hAnsi="仿宋" w:eastAsia="仿宋" w:cs="仿宋"/>
                <w:b/>
                <w:bCs/>
                <w:i w:val="0"/>
                <w:iCs w:val="0"/>
                <w:color w:val="000000"/>
                <w:kern w:val="0"/>
                <w:sz w:val="18"/>
                <w:szCs w:val="18"/>
                <w:highlight w:val="none"/>
                <w:u w:val="none"/>
                <w:lang w:val="en-US" w:eastAsia="zh-CN" w:bidi="ar"/>
              </w:rPr>
              <w:t>标的号</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b/>
                <w:bCs/>
                <w:i w:val="0"/>
                <w:iCs w:val="0"/>
                <w:color w:val="000000"/>
                <w:kern w:val="0"/>
                <w:sz w:val="18"/>
                <w:szCs w:val="18"/>
                <w:highlight w:val="none"/>
                <w:u w:val="none"/>
                <w:lang w:val="en-US" w:eastAsia="zh-CN" w:bidi="ar"/>
              </w:rPr>
              <w:t>标的名称</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b/>
                <w:bCs/>
                <w:i w:val="0"/>
                <w:iCs w:val="0"/>
                <w:color w:val="000000"/>
                <w:kern w:val="0"/>
                <w:sz w:val="18"/>
                <w:szCs w:val="18"/>
                <w:highlight w:val="none"/>
                <w:u w:val="none"/>
                <w:lang w:val="en-US" w:eastAsia="zh-CN" w:bidi="ar"/>
              </w:rPr>
              <w:t>袋子厚度</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b/>
                <w:bCs/>
                <w:i w:val="0"/>
                <w:iCs w:val="0"/>
                <w:color w:val="000000"/>
                <w:kern w:val="0"/>
                <w:sz w:val="18"/>
                <w:szCs w:val="18"/>
                <w:highlight w:val="none"/>
                <w:u w:val="none"/>
                <w:lang w:val="en-US" w:eastAsia="zh-CN" w:bidi="ar"/>
              </w:rPr>
              <w:t>型号（mm）</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b/>
                <w:bCs/>
                <w:i w:val="0"/>
                <w:iCs w:val="0"/>
                <w:color w:val="000000"/>
                <w:kern w:val="0"/>
                <w:sz w:val="18"/>
                <w:szCs w:val="18"/>
                <w:highlight w:val="none"/>
                <w:u w:val="none"/>
                <w:lang w:val="en-US" w:eastAsia="zh-CN" w:bidi="ar"/>
              </w:rPr>
              <w:t>预计数量</w:t>
            </w:r>
            <w:r>
              <w:rPr>
                <w:rFonts w:hint="eastAsia" w:ascii="仿宋" w:hAnsi="仿宋" w:eastAsia="仿宋" w:cs="仿宋"/>
                <w:b/>
                <w:bCs/>
                <w:i w:val="0"/>
                <w:iCs w:val="0"/>
                <w:color w:val="000000"/>
                <w:kern w:val="0"/>
                <w:sz w:val="18"/>
                <w:szCs w:val="18"/>
                <w:highlight w:val="none"/>
                <w:u w:val="none"/>
                <w:lang w:val="en-US" w:eastAsia="zh-CN" w:bidi="ar"/>
              </w:rPr>
              <w:br w:type="textWrapping"/>
            </w:r>
            <w:r>
              <w:rPr>
                <w:rFonts w:hint="eastAsia" w:ascii="仿宋" w:hAnsi="仿宋" w:eastAsia="仿宋" w:cs="仿宋"/>
                <w:b/>
                <w:bCs/>
                <w:i w:val="0"/>
                <w:iCs w:val="0"/>
                <w:color w:val="000000"/>
                <w:kern w:val="0"/>
                <w:sz w:val="18"/>
                <w:szCs w:val="18"/>
                <w:highlight w:val="none"/>
                <w:u w:val="none"/>
                <w:lang w:val="en-US" w:eastAsia="zh-CN" w:bidi="ar"/>
              </w:rPr>
              <w:t>（份）</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b/>
                <w:bCs/>
                <w:i w:val="0"/>
                <w:iCs w:val="0"/>
                <w:color w:val="000000"/>
                <w:kern w:val="0"/>
                <w:sz w:val="18"/>
                <w:szCs w:val="18"/>
                <w:highlight w:val="none"/>
                <w:u w:val="none"/>
                <w:lang w:val="en-US" w:eastAsia="zh-CN" w:bidi="ar"/>
              </w:rPr>
              <w:t>每份限价</w:t>
            </w:r>
            <w:r>
              <w:rPr>
                <w:rFonts w:hint="eastAsia" w:ascii="仿宋" w:hAnsi="仿宋" w:eastAsia="仿宋" w:cs="仿宋"/>
                <w:b/>
                <w:bCs/>
                <w:i w:val="0"/>
                <w:iCs w:val="0"/>
                <w:color w:val="000000"/>
                <w:kern w:val="0"/>
                <w:sz w:val="18"/>
                <w:szCs w:val="18"/>
                <w:highlight w:val="none"/>
                <w:u w:val="none"/>
                <w:lang w:val="en-US" w:eastAsia="zh-CN" w:bidi="ar"/>
              </w:rPr>
              <w:br w:type="textWrapping"/>
            </w:r>
            <w:r>
              <w:rPr>
                <w:rFonts w:hint="eastAsia" w:ascii="仿宋" w:hAnsi="仿宋" w:eastAsia="仿宋" w:cs="仿宋"/>
                <w:b/>
                <w:bCs/>
                <w:i w:val="0"/>
                <w:iCs w:val="0"/>
                <w:color w:val="000000"/>
                <w:kern w:val="0"/>
                <w:sz w:val="18"/>
                <w:szCs w:val="18"/>
                <w:highlight w:val="none"/>
                <w:u w:val="none"/>
                <w:lang w:val="en-US" w:eastAsia="zh-CN" w:bidi="ar"/>
              </w:rPr>
              <w:t>（元）</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kern w:val="0"/>
                <w:sz w:val="18"/>
                <w:szCs w:val="18"/>
                <w:highlight w:val="none"/>
                <w:u w:val="none"/>
                <w:lang w:val="en-US" w:eastAsia="zh-CN" w:bidi="ar"/>
              </w:rPr>
            </w:pPr>
            <w:r>
              <w:rPr>
                <w:rFonts w:hint="eastAsia" w:ascii="仿宋" w:hAnsi="仿宋" w:eastAsia="仿宋" w:cs="仿宋"/>
                <w:b/>
                <w:bCs/>
                <w:i w:val="0"/>
                <w:iCs w:val="0"/>
                <w:color w:val="000000"/>
                <w:kern w:val="0"/>
                <w:sz w:val="18"/>
                <w:szCs w:val="18"/>
                <w:highlight w:val="none"/>
                <w:u w:val="none"/>
                <w:lang w:val="en-US" w:eastAsia="zh-CN" w:bidi="ar"/>
              </w:rPr>
              <w:t>每份单价</w:t>
            </w:r>
          </w:p>
          <w:p>
            <w:pPr>
              <w:pStyle w:val="12"/>
              <w:keepNext w:val="0"/>
              <w:keepLines w:val="0"/>
              <w:pageBreakBefore w:val="0"/>
              <w:widowControl w:val="0"/>
              <w:kinsoku/>
              <w:wordWrap/>
              <w:overflowPunct/>
              <w:topLinePunct w:val="0"/>
              <w:autoSpaceDE/>
              <w:autoSpaceDN/>
              <w:bidi w:val="0"/>
              <w:adjustRightInd/>
              <w:snapToGrid/>
              <w:spacing w:line="240" w:lineRule="auto"/>
              <w:jc w:val="center"/>
              <w:rPr>
                <w:rFonts w:hint="eastAsia" w:ascii="仿宋" w:hAnsi="仿宋" w:eastAsia="仿宋" w:cs="仿宋"/>
                <w:sz w:val="18"/>
                <w:szCs w:val="18"/>
                <w:highlight w:val="none"/>
                <w:lang w:val="en-US" w:eastAsia="zh-CN"/>
              </w:rPr>
            </w:pPr>
            <w:r>
              <w:rPr>
                <w:rFonts w:hint="eastAsia" w:ascii="仿宋" w:hAnsi="仿宋" w:eastAsia="仿宋" w:cs="仿宋"/>
                <w:b/>
                <w:bCs/>
                <w:i w:val="0"/>
                <w:iCs w:val="0"/>
                <w:color w:val="000000"/>
                <w:kern w:val="0"/>
                <w:sz w:val="18"/>
                <w:szCs w:val="18"/>
                <w:highlight w:val="none"/>
                <w:u w:val="none"/>
                <w:lang w:val="en-US" w:eastAsia="zh-CN" w:bidi="ar"/>
              </w:rPr>
              <w:t>（元）</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kern w:val="0"/>
                <w:sz w:val="18"/>
                <w:szCs w:val="18"/>
                <w:highlight w:val="none"/>
                <w:u w:val="none"/>
                <w:lang w:val="en-US" w:eastAsia="zh-CN" w:bidi="ar"/>
              </w:rPr>
            </w:pPr>
            <w:r>
              <w:rPr>
                <w:rFonts w:hint="eastAsia" w:ascii="仿宋" w:hAnsi="仿宋" w:eastAsia="仿宋" w:cs="仿宋"/>
                <w:b/>
                <w:bCs/>
                <w:i w:val="0"/>
                <w:iCs w:val="0"/>
                <w:color w:val="000000"/>
                <w:kern w:val="0"/>
                <w:sz w:val="18"/>
                <w:szCs w:val="18"/>
                <w:highlight w:val="none"/>
                <w:u w:val="none"/>
                <w:lang w:val="en-US" w:eastAsia="zh-CN" w:bidi="ar"/>
              </w:rPr>
              <w:t>单项总价</w:t>
            </w:r>
          </w:p>
          <w:p>
            <w:pPr>
              <w:pStyle w:val="12"/>
              <w:keepNext w:val="0"/>
              <w:keepLines w:val="0"/>
              <w:pageBreakBefore w:val="0"/>
              <w:widowControl w:val="0"/>
              <w:kinsoku/>
              <w:wordWrap/>
              <w:overflowPunct/>
              <w:topLinePunct w:val="0"/>
              <w:autoSpaceDE/>
              <w:autoSpaceDN/>
              <w:bidi w:val="0"/>
              <w:adjustRightInd/>
              <w:snapToGrid/>
              <w:spacing w:line="240" w:lineRule="auto"/>
              <w:jc w:val="center"/>
              <w:rPr>
                <w:rFonts w:hint="eastAsia" w:ascii="仿宋" w:hAnsi="仿宋" w:eastAsia="仿宋" w:cs="仿宋"/>
                <w:sz w:val="18"/>
                <w:szCs w:val="18"/>
                <w:highlight w:val="none"/>
                <w:lang w:val="en-US" w:eastAsia="zh-CN"/>
              </w:rPr>
            </w:pPr>
            <w:r>
              <w:rPr>
                <w:rFonts w:hint="eastAsia" w:ascii="仿宋" w:hAnsi="仿宋" w:eastAsia="仿宋" w:cs="仿宋"/>
                <w:b/>
                <w:bCs/>
                <w:i w:val="0"/>
                <w:iCs w:val="0"/>
                <w:color w:val="000000"/>
                <w:kern w:val="0"/>
                <w:sz w:val="18"/>
                <w:szCs w:val="18"/>
                <w:highlight w:val="none"/>
                <w:u w:val="none"/>
                <w:lang w:val="en-US" w:eastAsia="zh-CN" w:bidi="ar"/>
              </w:rPr>
              <w:t>（元）</w:t>
            </w: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CT片袋</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390×510</w:t>
            </w:r>
          </w:p>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270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DR片袋</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310×480</w:t>
            </w:r>
          </w:p>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210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煎药袋（大）</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40g每平方米及以上无纺布</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450×320</w:t>
            </w:r>
          </w:p>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780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煎药袋（中）</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40g每平方米及以上无纺布</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350×250</w:t>
            </w:r>
          </w:p>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16*1000个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486</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煎药袋（小）</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40g每平方米及以上无纺布</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200×150</w:t>
            </w:r>
          </w:p>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295</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6</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药房袋子（小号）</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(200+55*2)×330（±2%）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320*1000个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47</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药房袋子（大号）</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（300+75*2）×480（±2%）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149.84*1000个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8</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中号白色垃圾袋（48#）</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600*650（±2%）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220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小号黄色医疗垃圾袋（34#）</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500*520（±2%）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33*1000个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170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中号黄色医疗垃圾袋（48#）</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600*650（±2%）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82*1000个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260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11</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平口大号黄色医疗垃圾袋（90#）</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900*1100（±2%）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860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12</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小号黑色垃圾袋（34#）</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500*520（±2%）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500*1000个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85</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13</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中号黑色垃圾袋（48#）</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700*730（±2%）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14</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大号黑色垃圾袋（55#）</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750*800（±2%）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15</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平口大号黑色垃圾袋（90#）</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900*1100（±2%）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20*1000个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16</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中号橘红色垃圾袋（48#）</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650*650（±2%）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17</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平口大号橘红色垃圾袋（90#）</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900*1100（±2%）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900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18</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平口特大号白色垃圾袋</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1200*1400</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1500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19</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平口特大号黄色医废垃圾袋</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1200*1400</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5*1000个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1500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平口特大号黑色垃圾袋</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7丝及以上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1200*1400</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8.2*1000个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1400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21</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超市食品包装袋（小号）</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(250+60*2)×380（±2%）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15*1000个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60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454" w:hRule="exac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22</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超市食品包装袋（大号）</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2.8丝及以上</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（300+75*2）×480（±2%）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15*1000个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120</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18"/>
                <w:szCs w:val="18"/>
                <w:highlight w:val="none"/>
                <w:u w:val="none"/>
                <w:lang w:val="en-US" w:eastAsia="zh-CN" w:bidi="ar"/>
              </w:rPr>
            </w:pPr>
          </w:p>
        </w:tc>
      </w:tr>
      <w:tr>
        <w:tblPrEx>
          <w:tblCellMar>
            <w:top w:w="15" w:type="dxa"/>
            <w:left w:w="15" w:type="dxa"/>
            <w:bottom w:w="15" w:type="dxa"/>
            <w:right w:w="15" w:type="dxa"/>
          </w:tblCellMar>
        </w:tblPrEx>
        <w:trPr>
          <w:trHeight w:val="1020" w:hRule="exact"/>
          <w:jc w:val="center"/>
        </w:trPr>
        <w:tc>
          <w:tcPr>
            <w:tcW w:w="10261"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sz w:val="18"/>
                <w:szCs w:val="18"/>
                <w:highlight w:val="none"/>
              </w:rPr>
            </w:pPr>
          </w:p>
          <w:p>
            <w:pPr>
              <w:keepNext w:val="0"/>
              <w:keepLines w:val="0"/>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color w:val="auto"/>
                <w:sz w:val="18"/>
                <w:szCs w:val="18"/>
                <w:highlight w:val="none"/>
                <w:u w:val="none"/>
                <w:lang w:val="en-US" w:eastAsia="zh-CN"/>
              </w:rPr>
            </w:pPr>
            <w:r>
              <w:rPr>
                <w:rFonts w:hint="eastAsia" w:ascii="仿宋" w:hAnsi="仿宋" w:eastAsia="仿宋" w:cs="仿宋"/>
                <w:color w:val="auto"/>
                <w:sz w:val="18"/>
                <w:szCs w:val="18"/>
                <w:highlight w:val="none"/>
              </w:rPr>
              <w:t>报价总价（小写金额）</w:t>
            </w:r>
            <w:r>
              <w:rPr>
                <w:rFonts w:hint="eastAsia" w:ascii="仿宋" w:hAnsi="仿宋" w:eastAsia="仿宋" w:cs="仿宋"/>
                <w:color w:val="auto"/>
                <w:sz w:val="18"/>
                <w:szCs w:val="18"/>
                <w:highlight w:val="none"/>
                <w:lang w:eastAsia="zh-CN"/>
              </w:rPr>
              <w:t>：</w:t>
            </w:r>
            <w:r>
              <w:rPr>
                <w:rFonts w:hint="eastAsia" w:ascii="仿宋" w:hAnsi="仿宋" w:eastAsia="仿宋" w:cs="仿宋"/>
                <w:color w:val="auto"/>
                <w:sz w:val="18"/>
                <w:szCs w:val="18"/>
                <w:highlight w:val="none"/>
                <w:u w:val="single"/>
                <w:lang w:val="en-US" w:eastAsia="zh-CN"/>
              </w:rPr>
              <w:t xml:space="preserve">                         </w:t>
            </w:r>
            <w:r>
              <w:rPr>
                <w:rFonts w:hint="eastAsia" w:ascii="仿宋" w:hAnsi="仿宋" w:eastAsia="仿宋" w:cs="仿宋"/>
                <w:color w:val="auto"/>
                <w:sz w:val="18"/>
                <w:szCs w:val="18"/>
                <w:highlight w:val="none"/>
                <w:u w:val="none"/>
                <w:lang w:val="en-US" w:eastAsia="zh-CN"/>
              </w:rPr>
              <w:t>元；下浮比例</w:t>
            </w:r>
            <w:r>
              <w:rPr>
                <w:rFonts w:hint="eastAsia" w:ascii="仿宋" w:hAnsi="仿宋" w:eastAsia="仿宋" w:cs="仿宋"/>
                <w:color w:val="auto"/>
                <w:sz w:val="18"/>
                <w:szCs w:val="18"/>
                <w:highlight w:val="none"/>
                <w:u w:val="single"/>
                <w:lang w:val="en-US" w:eastAsia="zh-CN"/>
              </w:rPr>
              <w:t xml:space="preserve">                         %</w:t>
            </w:r>
            <w:r>
              <w:rPr>
                <w:rFonts w:hint="eastAsia" w:ascii="仿宋" w:hAnsi="仿宋" w:eastAsia="仿宋" w:cs="仿宋"/>
                <w:color w:val="auto"/>
                <w:sz w:val="18"/>
                <w:szCs w:val="18"/>
                <w:highlight w:val="none"/>
                <w:u w:val="none"/>
                <w:lang w:val="en-US" w:eastAsia="zh-CN"/>
              </w:rPr>
              <w:t>（保留小数点后两位数）</w:t>
            </w:r>
          </w:p>
          <w:p>
            <w:pPr>
              <w:pStyle w:val="12"/>
              <w:keepNext w:val="0"/>
              <w:keepLines w:val="0"/>
              <w:pageBreakBefore w:val="0"/>
              <w:widowControl w:val="0"/>
              <w:kinsoku/>
              <w:wordWrap/>
              <w:overflowPunct/>
              <w:topLinePunct w:val="0"/>
              <w:autoSpaceDE/>
              <w:autoSpaceDN/>
              <w:bidi w:val="0"/>
              <w:adjustRightInd/>
              <w:snapToGrid/>
              <w:spacing w:line="240" w:lineRule="auto"/>
              <w:rPr>
                <w:rFonts w:hint="eastAsia" w:ascii="仿宋" w:hAnsi="仿宋" w:eastAsia="仿宋" w:cs="仿宋"/>
                <w:color w:val="auto"/>
                <w:sz w:val="18"/>
                <w:szCs w:val="18"/>
                <w:highlight w:val="none"/>
              </w:rPr>
            </w:pPr>
          </w:p>
          <w:p>
            <w:pPr>
              <w:pStyle w:val="12"/>
              <w:keepNext w:val="0"/>
              <w:keepLines w:val="0"/>
              <w:pageBreakBefore w:val="0"/>
              <w:widowControl w:val="0"/>
              <w:kinsoku/>
              <w:wordWrap/>
              <w:overflowPunct/>
              <w:topLinePunct w:val="0"/>
              <w:autoSpaceDE/>
              <w:autoSpaceDN/>
              <w:bidi w:val="0"/>
              <w:adjustRightInd/>
              <w:snapToGrid/>
              <w:spacing w:line="240" w:lineRule="auto"/>
              <w:rPr>
                <w:rFonts w:hint="eastAsia" w:ascii="仿宋" w:hAnsi="仿宋" w:eastAsia="仿宋" w:cs="仿宋"/>
                <w:sz w:val="18"/>
                <w:szCs w:val="18"/>
                <w:highlight w:val="none"/>
                <w:lang w:val="en-US" w:eastAsia="zh-CN"/>
              </w:rPr>
            </w:pPr>
            <w:r>
              <w:rPr>
                <w:rFonts w:hint="eastAsia" w:ascii="仿宋" w:hAnsi="仿宋" w:eastAsia="仿宋" w:cs="仿宋"/>
                <w:color w:val="auto"/>
                <w:sz w:val="18"/>
                <w:szCs w:val="18"/>
                <w:highlight w:val="none"/>
              </w:rPr>
              <w:t>报价总价（大写金额）：</w:t>
            </w:r>
            <w:r>
              <w:rPr>
                <w:rFonts w:hint="eastAsia" w:ascii="仿宋" w:hAnsi="仿宋" w:eastAsia="仿宋" w:cs="仿宋"/>
                <w:color w:val="auto"/>
                <w:sz w:val="18"/>
                <w:szCs w:val="18"/>
                <w:highlight w:val="none"/>
                <w:u w:val="single"/>
                <w:lang w:val="en-US" w:eastAsia="zh-CN"/>
              </w:rPr>
              <w:t xml:space="preserve">                                                                                        </w:t>
            </w:r>
            <w:r>
              <w:rPr>
                <w:rFonts w:hint="eastAsia" w:ascii="仿宋" w:hAnsi="仿宋" w:eastAsia="仿宋" w:cs="仿宋"/>
                <w:color w:val="auto"/>
                <w:sz w:val="18"/>
                <w:szCs w:val="18"/>
                <w:highlight w:val="none"/>
                <w:u w:val="none"/>
                <w:lang w:val="en-US" w:eastAsia="zh-CN"/>
              </w:rPr>
              <w:t xml:space="preserve">    </w:t>
            </w:r>
          </w:p>
        </w:tc>
      </w:tr>
    </w:tbl>
    <w:p>
      <w:pPr>
        <w:spacing w:line="360" w:lineRule="auto"/>
        <w:ind w:firstLine="0" w:firstLineChars="0"/>
        <w:rPr>
          <w:rFonts w:hint="eastAsia" w:ascii="仿宋" w:hAnsi="仿宋" w:eastAsia="仿宋" w:cs="仿宋"/>
          <w:color w:val="auto"/>
          <w:sz w:val="24"/>
        </w:rPr>
      </w:pPr>
    </w:p>
    <w:p>
      <w:pPr>
        <w:spacing w:line="360" w:lineRule="auto"/>
        <w:ind w:firstLine="0" w:firstLineChars="0"/>
        <w:rPr>
          <w:rFonts w:hint="eastAsia" w:ascii="仿宋" w:hAnsi="仿宋" w:eastAsia="仿宋" w:cs="仿宋"/>
          <w:color w:val="auto"/>
          <w:sz w:val="24"/>
        </w:rPr>
      </w:pPr>
      <w:r>
        <w:rPr>
          <w:rFonts w:hint="eastAsia" w:ascii="仿宋" w:hAnsi="仿宋" w:eastAsia="仿宋" w:cs="仿宋"/>
          <w:color w:val="auto"/>
          <w:sz w:val="24"/>
        </w:rPr>
        <w:t>注：</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pPr>
        <w:spacing w:line="360" w:lineRule="auto"/>
        <w:ind w:firstLine="480" w:firstLineChars="200"/>
        <w:rPr>
          <w:bCs/>
          <w:color w:val="auto"/>
        </w:rPr>
      </w:pPr>
      <w:r>
        <w:rPr>
          <w:rFonts w:hint="eastAsia" w:ascii="仿宋" w:hAnsi="仿宋" w:cs="仿宋"/>
          <w:b w:val="0"/>
          <w:bCs/>
          <w:color w:val="auto"/>
          <w:sz w:val="24"/>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w:t>
      </w:r>
      <w:r>
        <w:rPr>
          <w:rFonts w:hint="eastAsia" w:ascii="仿宋" w:hAnsi="仿宋" w:eastAsia="仿宋" w:cs="仿宋"/>
          <w:b w:val="0"/>
          <w:bCs/>
          <w:color w:val="auto"/>
          <w:sz w:val="24"/>
        </w:rPr>
        <w:t>需</w:t>
      </w:r>
      <w:r>
        <w:rPr>
          <w:rFonts w:hint="eastAsia" w:ascii="仿宋" w:hAnsi="仿宋" w:eastAsia="仿宋" w:cs="仿宋"/>
          <w:b w:val="0"/>
          <w:bCs/>
          <w:color w:val="auto"/>
          <w:sz w:val="24"/>
          <w:lang w:eastAsia="zh-CN"/>
        </w:rPr>
        <w:t>填写完整并</w:t>
      </w:r>
      <w:r>
        <w:rPr>
          <w:rFonts w:hint="eastAsia" w:ascii="仿宋" w:hAnsi="仿宋" w:eastAsia="仿宋" w:cs="仿宋"/>
          <w:b w:val="0"/>
          <w:bCs/>
          <w:color w:val="auto"/>
          <w:sz w:val="24"/>
        </w:rPr>
        <w:t>装订入其他响应文件中。</w:t>
      </w:r>
    </w:p>
    <w:p>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3.单价为每份报价，1份为1000个袋子。</w:t>
      </w:r>
    </w:p>
    <w:p>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4.单价：每份单价按照同比例下浮报价，保留小数点后两位。</w:t>
      </w:r>
    </w:p>
    <w:p>
      <w:pPr>
        <w:spacing w:line="360" w:lineRule="auto"/>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5.报价总价不保留小数。</w:t>
      </w:r>
    </w:p>
    <w:p>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6.未按以上要求报价无效。</w:t>
      </w:r>
    </w:p>
    <w:p>
      <w:pPr>
        <w:pStyle w:val="116"/>
        <w:widowControl/>
        <w:spacing w:line="480" w:lineRule="auto"/>
        <w:ind w:firstLine="0"/>
        <w:jc w:val="center"/>
        <w:rPr>
          <w:rFonts w:hint="eastAsia" w:ascii="仿宋" w:hAnsi="仿宋" w:eastAsia="仿宋" w:cs="仿宋"/>
          <w:sz w:val="24"/>
          <w:szCs w:val="24"/>
        </w:rPr>
      </w:pPr>
    </w:p>
    <w:p>
      <w:pPr>
        <w:pStyle w:val="12"/>
        <w:rPr>
          <w:rFonts w:hint="eastAsia"/>
        </w:rPr>
      </w:pPr>
    </w:p>
    <w:p>
      <w:pPr>
        <w:rPr>
          <w:rFonts w:hint="eastAsia" w:ascii="仿宋" w:hAnsi="仿宋" w:eastAsia="仿宋" w:cs="仿宋"/>
          <w:b/>
          <w:bCs/>
          <w:color w:val="auto"/>
          <w:sz w:val="24"/>
        </w:rPr>
      </w:pPr>
      <w:r>
        <w:rPr>
          <w:rFonts w:hint="eastAsia" w:ascii="仿宋" w:hAnsi="仿宋" w:eastAsia="仿宋" w:cs="仿宋"/>
          <w:b/>
          <w:bCs/>
          <w:color w:val="auto"/>
          <w:sz w:val="24"/>
        </w:rPr>
        <w:br w:type="page"/>
      </w:r>
    </w:p>
    <w:bookmarkEnd w:id="118"/>
    <w:bookmarkEnd w:id="119"/>
    <w:p>
      <w:pPr>
        <w:snapToGrid w:val="0"/>
        <w:spacing w:line="360" w:lineRule="auto"/>
        <w:jc w:val="center"/>
        <w:outlineLvl w:val="1"/>
        <w:rPr>
          <w:rFonts w:hint="eastAsia" w:ascii="仿宋" w:hAnsi="仿宋" w:eastAsia="仿宋" w:cs="仿宋"/>
          <w:b/>
          <w:bCs/>
          <w:color w:val="auto"/>
          <w:sz w:val="30"/>
          <w:szCs w:val="30"/>
        </w:rPr>
      </w:pPr>
      <w:bookmarkStart w:id="120" w:name="_Toc14104"/>
      <w:bookmarkStart w:id="121" w:name="_Toc25789"/>
      <w:bookmarkStart w:id="122" w:name="_Toc17388"/>
      <w:bookmarkStart w:id="123" w:name="_Toc25006"/>
      <w:r>
        <w:rPr>
          <w:rFonts w:hint="eastAsia" w:ascii="仿宋" w:hAnsi="仿宋" w:eastAsia="仿宋" w:cs="仿宋"/>
          <w:b/>
          <w:bCs/>
          <w:color w:val="auto"/>
          <w:sz w:val="30"/>
          <w:szCs w:val="30"/>
          <w:lang w:eastAsia="zh-CN"/>
        </w:rPr>
        <w:t>第四部分</w:t>
      </w:r>
      <w:r>
        <w:rPr>
          <w:rFonts w:hint="eastAsia" w:ascii="仿宋" w:hAnsi="仿宋" w:eastAsia="仿宋" w:cs="仿宋"/>
          <w:b/>
          <w:bCs/>
          <w:color w:val="auto"/>
          <w:sz w:val="30"/>
          <w:szCs w:val="30"/>
        </w:rPr>
        <w:t>“</w:t>
      </w:r>
      <w:r>
        <w:rPr>
          <w:rFonts w:hint="eastAsia" w:ascii="仿宋" w:hAnsi="仿宋" w:eastAsia="仿宋" w:cs="仿宋"/>
          <w:b/>
          <w:bCs/>
          <w:color w:val="auto"/>
          <w:sz w:val="30"/>
          <w:szCs w:val="30"/>
          <w:lang w:eastAsia="zh-CN"/>
        </w:rPr>
        <w:t>电子文档</w:t>
      </w:r>
      <w:r>
        <w:rPr>
          <w:rFonts w:hint="eastAsia" w:ascii="仿宋" w:hAnsi="仿宋" w:eastAsia="仿宋" w:cs="仿宋"/>
          <w:b/>
          <w:bCs/>
          <w:color w:val="auto"/>
          <w:sz w:val="30"/>
          <w:szCs w:val="30"/>
        </w:rPr>
        <w:t>”格式</w:t>
      </w:r>
    </w:p>
    <w:p>
      <w:pPr>
        <w:pStyle w:val="12"/>
        <w:numPr>
          <w:ilvl w:val="0"/>
          <w:numId w:val="0"/>
        </w:numPr>
        <w:ind w:leftChars="0"/>
        <w:rPr>
          <w:rFonts w:hint="eastAsia"/>
          <w:color w:val="auto"/>
        </w:rPr>
      </w:pPr>
    </w:p>
    <w:p>
      <w:pPr>
        <w:tabs>
          <w:tab w:val="left" w:leader="dot" w:pos="7380"/>
        </w:tabs>
        <w:snapToGrid w:val="0"/>
        <w:spacing w:line="324" w:lineRule="auto"/>
        <w:jc w:val="both"/>
        <w:outlineLvl w:val="2"/>
        <w:rPr>
          <w:rFonts w:hint="eastAsia" w:ascii="仿宋" w:hAnsi="仿宋" w:eastAsia="仿宋" w:cs="仿宋"/>
          <w:b/>
          <w:bCs/>
          <w:color w:val="auto"/>
          <w:sz w:val="30"/>
          <w:szCs w:val="30"/>
        </w:rPr>
      </w:pPr>
      <w:r>
        <w:rPr>
          <w:rFonts w:hint="eastAsia" w:ascii="仿宋" w:hAnsi="仿宋" w:eastAsia="仿宋" w:cs="仿宋"/>
          <w:b/>
          <w:bCs/>
          <w:color w:val="auto"/>
          <w:sz w:val="24"/>
          <w:szCs w:val="24"/>
          <w:highlight w:val="none"/>
        </w:rPr>
        <w:t>格式</w:t>
      </w:r>
      <w:r>
        <w:rPr>
          <w:rFonts w:hint="eastAsia" w:ascii="仿宋" w:hAnsi="仿宋" w:eastAsia="仿宋" w:cs="仿宋"/>
          <w:b/>
          <w:bCs/>
          <w:color w:val="auto"/>
          <w:sz w:val="24"/>
          <w:szCs w:val="24"/>
          <w:highlight w:val="none"/>
          <w:lang w:val="en-US" w:eastAsia="zh-CN"/>
        </w:rPr>
        <w:t>4-1:</w:t>
      </w:r>
      <w:r>
        <w:rPr>
          <w:rFonts w:hint="eastAsia" w:ascii="仿宋" w:hAnsi="仿宋" w:eastAsia="仿宋" w:cs="仿宋"/>
          <w:b/>
          <w:bCs/>
          <w:color w:val="auto"/>
          <w:sz w:val="24"/>
          <w:szCs w:val="24"/>
        </w:rPr>
        <w:t>电子</w:t>
      </w:r>
      <w:r>
        <w:rPr>
          <w:rFonts w:hint="eastAsia" w:ascii="仿宋" w:hAnsi="仿宋" w:eastAsia="仿宋" w:cs="仿宋"/>
          <w:b/>
          <w:bCs/>
          <w:color w:val="auto"/>
          <w:sz w:val="24"/>
          <w:szCs w:val="24"/>
          <w:lang w:eastAsia="zh-CN"/>
        </w:rPr>
        <w:t>文档封面</w:t>
      </w:r>
    </w:p>
    <w:p>
      <w:pPr>
        <w:tabs>
          <w:tab w:val="left" w:leader="dot" w:pos="7380"/>
        </w:tabs>
        <w:snapToGrid w:val="0"/>
        <w:spacing w:line="324" w:lineRule="auto"/>
        <w:jc w:val="left"/>
        <w:rPr>
          <w:rFonts w:hint="eastAsia" w:ascii="仿宋" w:hAnsi="仿宋" w:eastAsia="仿宋" w:cs="仿宋"/>
          <w:b/>
          <w:bCs/>
          <w:color w:val="auto"/>
          <w:sz w:val="32"/>
          <w:szCs w:val="32"/>
        </w:rPr>
      </w:pPr>
    </w:p>
    <w:p>
      <w:pPr>
        <w:pStyle w:val="12"/>
        <w:rPr>
          <w:rFonts w:hint="eastAsia"/>
        </w:rPr>
      </w:pPr>
    </w:p>
    <w:p>
      <w:pPr>
        <w:tabs>
          <w:tab w:val="left" w:leader="dot" w:pos="7380"/>
        </w:tabs>
        <w:snapToGrid w:val="0"/>
        <w:spacing w:line="324" w:lineRule="auto"/>
        <w:jc w:val="left"/>
        <w:rPr>
          <w:rFonts w:hint="eastAsia" w:ascii="仿宋" w:hAnsi="仿宋" w:eastAsia="仿宋" w:cs="仿宋"/>
          <w:b/>
          <w:bCs/>
          <w:color w:val="auto"/>
          <w:sz w:val="32"/>
          <w:szCs w:val="32"/>
        </w:rPr>
      </w:pPr>
    </w:p>
    <w:p>
      <w:pPr>
        <w:tabs>
          <w:tab w:val="left" w:leader="dot" w:pos="7380"/>
        </w:tabs>
        <w:snapToGrid w:val="0"/>
        <w:spacing w:line="324" w:lineRule="auto"/>
        <w:jc w:val="left"/>
        <w:rPr>
          <w:rFonts w:hint="eastAsia" w:ascii="仿宋" w:hAnsi="仿宋" w:eastAsia="仿宋" w:cs="仿宋"/>
          <w:b/>
          <w:bCs/>
          <w:color w:val="auto"/>
          <w:sz w:val="32"/>
          <w:szCs w:val="32"/>
        </w:rPr>
      </w:pPr>
    </w:p>
    <w:p>
      <w:pPr>
        <w:tabs>
          <w:tab w:val="left" w:leader="dot" w:pos="7380"/>
        </w:tabs>
        <w:snapToGrid w:val="0"/>
        <w:spacing w:line="324" w:lineRule="auto"/>
        <w:jc w:val="left"/>
        <w:rPr>
          <w:rFonts w:hint="eastAsia" w:ascii="仿宋" w:hAnsi="仿宋" w:eastAsia="仿宋" w:cs="仿宋"/>
          <w:b/>
          <w:bCs/>
          <w:color w:val="auto"/>
          <w:sz w:val="32"/>
          <w:szCs w:val="32"/>
        </w:rPr>
      </w:pPr>
    </w:p>
    <w:p>
      <w:pPr>
        <w:tabs>
          <w:tab w:val="left" w:leader="dot" w:pos="7380"/>
        </w:tabs>
        <w:snapToGrid w:val="0"/>
        <w:jc w:val="center"/>
        <w:rPr>
          <w:rFonts w:hint="eastAsia" w:ascii="仿宋" w:hAnsi="仿宋" w:eastAsia="仿宋" w:cs="仿宋"/>
          <w:b/>
          <w:bCs/>
          <w:color w:val="auto"/>
          <w:sz w:val="84"/>
          <w:szCs w:val="84"/>
          <w:lang w:eastAsia="zh-CN"/>
        </w:rPr>
      </w:pPr>
      <w:r>
        <w:rPr>
          <w:rFonts w:hint="eastAsia" w:ascii="仿宋" w:hAnsi="仿宋" w:eastAsia="仿宋" w:cs="仿宋"/>
          <w:b/>
          <w:bCs/>
          <w:color w:val="auto"/>
          <w:sz w:val="84"/>
          <w:szCs w:val="84"/>
        </w:rPr>
        <w:t>电子</w:t>
      </w:r>
      <w:r>
        <w:rPr>
          <w:rFonts w:hint="eastAsia" w:ascii="仿宋" w:hAnsi="仿宋" w:eastAsia="仿宋" w:cs="仿宋"/>
          <w:b/>
          <w:bCs/>
          <w:color w:val="auto"/>
          <w:sz w:val="84"/>
          <w:szCs w:val="84"/>
          <w:lang w:eastAsia="zh-CN"/>
        </w:rPr>
        <w:t>文档</w:t>
      </w:r>
    </w:p>
    <w:p>
      <w:pPr>
        <w:tabs>
          <w:tab w:val="left" w:leader="dot" w:pos="7380"/>
        </w:tabs>
        <w:snapToGrid w:val="0"/>
        <w:spacing w:line="324" w:lineRule="auto"/>
        <w:jc w:val="center"/>
        <w:rPr>
          <w:rFonts w:hint="eastAsia" w:ascii="仿宋" w:hAnsi="仿宋" w:eastAsia="仿宋" w:cs="仿宋"/>
          <w:b/>
          <w:bCs/>
          <w:color w:val="auto"/>
          <w:sz w:val="32"/>
          <w:szCs w:val="32"/>
        </w:rPr>
      </w:pPr>
    </w:p>
    <w:p>
      <w:pPr>
        <w:tabs>
          <w:tab w:val="left" w:leader="dot" w:pos="7380"/>
        </w:tabs>
        <w:snapToGrid w:val="0"/>
        <w:spacing w:line="324" w:lineRule="auto"/>
        <w:jc w:val="center"/>
        <w:rPr>
          <w:rFonts w:hint="eastAsia" w:ascii="仿宋" w:hAnsi="仿宋" w:eastAsia="仿宋" w:cs="仿宋"/>
          <w:b/>
          <w:bCs/>
          <w:color w:val="auto"/>
          <w:sz w:val="32"/>
          <w:szCs w:val="32"/>
        </w:rPr>
      </w:pPr>
    </w:p>
    <w:p>
      <w:pPr>
        <w:tabs>
          <w:tab w:val="left" w:pos="4005"/>
          <w:tab w:val="left" w:leader="dot" w:pos="7380"/>
        </w:tabs>
        <w:snapToGrid w:val="0"/>
        <w:spacing w:line="324"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jc w:val="left"/>
        <w:rPr>
          <w:rFonts w:hint="eastAsia"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pPr>
        <w:widowControl/>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sectPr>
          <w:headerReference r:id="rId11" w:type="first"/>
          <w:footerReference r:id="rId13" w:type="first"/>
          <w:headerReference r:id="rId10" w:type="default"/>
          <w:footerReference r:id="rId12" w:type="default"/>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pPr>
        <w:spacing w:before="0" w:beforeLines="0" w:after="313" w:afterLines="100" w:line="240" w:lineRule="auto"/>
        <w:jc w:val="center"/>
        <w:outlineLvl w:val="0"/>
        <w:rPr>
          <w:rFonts w:ascii="仿宋" w:hAnsi="仿宋" w:eastAsia="仿宋" w:cs="仿宋"/>
          <w:b/>
          <w:color w:val="auto"/>
          <w:sz w:val="36"/>
          <w:szCs w:val="36"/>
        </w:rPr>
      </w:pPr>
      <w:bookmarkStart w:id="124" w:name="_Toc5293"/>
      <w:bookmarkStart w:id="125" w:name="_Toc26224"/>
      <w:r>
        <w:rPr>
          <w:rFonts w:hint="eastAsia" w:ascii="仿宋" w:hAnsi="仿宋" w:eastAsia="仿宋" w:cs="仿宋"/>
          <w:b/>
          <w:color w:val="auto"/>
          <w:sz w:val="36"/>
          <w:szCs w:val="36"/>
        </w:rPr>
        <w:t>第</w:t>
      </w:r>
      <w:r>
        <w:rPr>
          <w:rFonts w:hint="eastAsia" w:ascii="仿宋" w:hAnsi="仿宋" w:eastAsia="仿宋" w:cs="仿宋"/>
          <w:b/>
          <w:color w:val="auto"/>
          <w:sz w:val="36"/>
          <w:szCs w:val="36"/>
          <w:lang w:eastAsia="zh-CN"/>
        </w:rPr>
        <w:t>八</w:t>
      </w:r>
      <w:r>
        <w:rPr>
          <w:rFonts w:hint="eastAsia" w:ascii="仿宋" w:hAnsi="仿宋" w:eastAsia="仿宋" w:cs="仿宋"/>
          <w:b/>
          <w:color w:val="auto"/>
          <w:sz w:val="36"/>
          <w:szCs w:val="36"/>
        </w:rPr>
        <w:t>章 评审办法</w:t>
      </w:r>
      <w:bookmarkEnd w:id="120"/>
      <w:bookmarkEnd w:id="121"/>
      <w:bookmarkEnd w:id="122"/>
      <w:bookmarkEnd w:id="123"/>
      <w:bookmarkEnd w:id="124"/>
      <w:bookmarkEnd w:id="125"/>
    </w:p>
    <w:p>
      <w:pPr>
        <w:numPr>
          <w:ilvl w:val="-1"/>
          <w:numId w:val="0"/>
        </w:numPr>
        <w:spacing w:before="313" w:beforeLines="100" w:after="313" w:afterLines="100" w:line="400" w:lineRule="exact"/>
        <w:jc w:val="center"/>
        <w:outlineLvl w:val="1"/>
        <w:rPr>
          <w:rFonts w:ascii="仿宋" w:hAnsi="仿宋" w:eastAsia="仿宋" w:cs="仿宋"/>
          <w:b/>
          <w:color w:val="auto"/>
          <w:sz w:val="30"/>
          <w:szCs w:val="30"/>
        </w:rPr>
      </w:pPr>
      <w:r>
        <w:rPr>
          <w:rFonts w:hint="eastAsia" w:ascii="仿宋" w:hAnsi="仿宋" w:eastAsia="仿宋" w:cs="仿宋"/>
          <w:b/>
          <w:color w:val="auto"/>
          <w:sz w:val="30"/>
          <w:szCs w:val="30"/>
          <w:lang w:eastAsia="zh-CN"/>
        </w:rPr>
        <w:t>一、</w:t>
      </w:r>
      <w:r>
        <w:rPr>
          <w:rFonts w:hint="eastAsia" w:ascii="仿宋" w:hAnsi="仿宋" w:eastAsia="仿宋" w:cs="仿宋"/>
          <w:b/>
          <w:color w:val="auto"/>
          <w:sz w:val="30"/>
          <w:szCs w:val="30"/>
        </w:rPr>
        <w:t>总则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w:t>
      </w:r>
      <w:r>
        <w:rPr>
          <w:rFonts w:hint="eastAsia" w:ascii="仿宋" w:hAnsi="仿宋" w:eastAsia="仿宋" w:cs="仿宋"/>
          <w:bCs/>
          <w:color w:val="auto"/>
          <w:sz w:val="24"/>
        </w:rPr>
        <w:t>根据本项目特点制定本评审办法。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2.</w:t>
      </w:r>
      <w:r>
        <w:rPr>
          <w:rFonts w:hint="eastAsia" w:ascii="仿宋" w:hAnsi="仿宋" w:eastAsia="仿宋" w:cs="仿宋"/>
          <w:bCs/>
          <w:color w:val="auto"/>
          <w:sz w:val="24"/>
        </w:rPr>
        <w:t>评审工作由采购代理机构负责组织，具体评审事务由采购代理机构依法组建的评审委员会负责。评审委员会由采购人代表和有关技术、经济等方面的专家组成。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评审工作应遵循公平、公正、同时兼顾充分满足采购需求、保证采购项目质量的原则。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评审委员会按照谈判文件规定的评审方法和标准进行评审，并独立履行下列职责：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（1）熟悉和理解谈判文件；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（2）审查供应商响应文件等是否满足谈判文件要求，并作出评价；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（3）根据需要要求采购单位对谈判文件作出解释；根据需要要求供应商对响应文件有关事项作出澄清、说明或者更正；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（4）推荐成交候选供应商，或者受采购人委托确定成交供应商；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（5）起草评审报告并进行签署；</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（6）向采购单位或者其他监督部门报告非法干预评审工作的行为；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（7）法律、法规和规章规定的其他职责。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评审过程独立、保密。供应商非法干预评审过程的行为将导致其响应文件作为无效文件处理。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评审委员会评价响应文件的实质性，对于供应商人而言，除评审委员会要求其澄清、说明或者更正而提供的资料外，仅依据响应文件本身的内容，不寻求其他外部证据。</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after="313" w:afterLines="100" w:line="360" w:lineRule="auto"/>
        <w:jc w:val="center"/>
        <w:textAlignment w:val="auto"/>
        <w:outlineLvl w:val="1"/>
        <w:rPr>
          <w:rFonts w:ascii="仿宋" w:hAnsi="仿宋" w:eastAsia="仿宋" w:cs="仿宋"/>
          <w:b/>
          <w:color w:val="auto"/>
          <w:sz w:val="30"/>
          <w:szCs w:val="30"/>
        </w:rPr>
      </w:pPr>
      <w:bookmarkStart w:id="126" w:name="_Toc2492_WPSOffice_Level2"/>
      <w:bookmarkStart w:id="127" w:name="_Toc26115_WPSOffice_Level2"/>
      <w:bookmarkStart w:id="128" w:name="_Toc2136"/>
      <w:r>
        <w:rPr>
          <w:rFonts w:hint="eastAsia" w:ascii="仿宋" w:hAnsi="仿宋" w:eastAsia="仿宋" w:cs="仿宋"/>
          <w:b/>
          <w:color w:val="auto"/>
          <w:sz w:val="30"/>
          <w:szCs w:val="30"/>
        </w:rPr>
        <w:t>评审方法</w:t>
      </w:r>
      <w:bookmarkEnd w:id="126"/>
      <w:bookmarkEnd w:id="127"/>
      <w:bookmarkEnd w:id="128"/>
    </w:p>
    <w:p>
      <w:pPr>
        <w:spacing w:line="360" w:lineRule="auto"/>
        <w:ind w:firstLine="482" w:firstLineChars="200"/>
        <w:rPr>
          <w:rFonts w:hint="eastAsia" w:ascii="仿宋" w:hAnsi="仿宋" w:eastAsia="仿宋" w:cs="仿宋"/>
          <w:b/>
          <w:bCs w:val="0"/>
          <w:color w:val="auto"/>
          <w:sz w:val="24"/>
        </w:rPr>
      </w:pPr>
      <w:r>
        <w:rPr>
          <w:rFonts w:hint="eastAsia" w:ascii="仿宋" w:hAnsi="仿宋" w:eastAsia="仿宋" w:cs="仿宋"/>
          <w:b/>
          <w:bCs w:val="0"/>
          <w:color w:val="auto"/>
          <w:sz w:val="24"/>
          <w:lang w:val="en-US" w:eastAsia="zh-CN"/>
        </w:rPr>
        <w:t>7.</w:t>
      </w:r>
      <w:r>
        <w:rPr>
          <w:rFonts w:hint="eastAsia" w:ascii="仿宋" w:hAnsi="仿宋" w:eastAsia="仿宋" w:cs="仿宋"/>
          <w:b/>
          <w:bCs w:val="0"/>
          <w:color w:val="auto"/>
          <w:sz w:val="24"/>
        </w:rPr>
        <w:t>本项目评审方法</w:t>
      </w:r>
    </w:p>
    <w:p>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最低评标价法</w:t>
      </w:r>
      <w:r>
        <w:rPr>
          <w:rFonts w:hint="eastAsia" w:ascii="仿宋" w:hAnsi="仿宋" w:eastAsia="仿宋" w:cs="仿宋"/>
          <w:b/>
          <w:color w:val="auto"/>
          <w:sz w:val="24"/>
          <w:lang w:eastAsia="zh-CN"/>
        </w:rPr>
        <w:t>：</w:t>
      </w:r>
      <w:r>
        <w:rPr>
          <w:rFonts w:hint="eastAsia" w:ascii="仿宋" w:hAnsi="仿宋" w:eastAsia="仿宋" w:cs="仿宋"/>
          <w:bCs/>
          <w:color w:val="auto"/>
          <w:sz w:val="24"/>
        </w:rPr>
        <w:t>最低评标价法是指响应文件满足竞争性谈判文件全部实质性要求且报价最低的供应商为成交供应商的评审方法。</w:t>
      </w:r>
      <w:r>
        <w:rPr>
          <w:rFonts w:hint="eastAsia" w:ascii="仿宋" w:hAnsi="仿宋" w:eastAsia="仿宋" w:cs="仿宋"/>
          <w:color w:val="auto"/>
          <w:sz w:val="24"/>
        </w:rPr>
        <w:t>最低报价相同的，以抽签方式确定成交供应商；抽签顺序为供应商签到顺序。</w:t>
      </w:r>
    </w:p>
    <w:p>
      <w:pPr>
        <w:pStyle w:val="5"/>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ascii="仿宋" w:hAnsi="仿宋" w:eastAsia="仿宋"/>
          <w:color w:val="auto"/>
          <w:sz w:val="30"/>
          <w:szCs w:val="30"/>
        </w:rPr>
      </w:pPr>
      <w:r>
        <w:rPr>
          <w:rFonts w:hint="eastAsia" w:ascii="仿宋" w:hAnsi="仿宋" w:eastAsia="仿宋" w:cs="仿宋"/>
          <w:color w:val="auto"/>
          <w:sz w:val="30"/>
          <w:szCs w:val="30"/>
        </w:rPr>
        <w:t>三、谈判程序</w:t>
      </w:r>
    </w:p>
    <w:p>
      <w:pPr>
        <w:keepNext w:val="0"/>
        <w:spacing w:line="360" w:lineRule="auto"/>
        <w:ind w:firstLine="482" w:firstLineChars="200"/>
        <w:outlineLvl w:val="9"/>
        <w:rPr>
          <w:rFonts w:ascii="仿宋" w:hAnsi="仿宋" w:eastAsia="仿宋"/>
          <w:b/>
          <w:bCs w:val="0"/>
          <w:color w:val="auto"/>
          <w:sz w:val="24"/>
        </w:rPr>
      </w:pPr>
      <w:r>
        <w:rPr>
          <w:rFonts w:hint="eastAsia" w:ascii="仿宋" w:hAnsi="仿宋" w:eastAsia="仿宋" w:cs="仿宋"/>
          <w:b/>
          <w:bCs w:val="0"/>
          <w:color w:val="auto"/>
          <w:sz w:val="24"/>
          <w:lang w:val="en-US" w:eastAsia="zh-CN"/>
        </w:rPr>
        <w:t>8.</w:t>
      </w:r>
      <w:r>
        <w:rPr>
          <w:rFonts w:hint="eastAsia" w:ascii="仿宋" w:hAnsi="仿宋" w:eastAsia="仿宋" w:cs="仿宋"/>
          <w:b/>
          <w:bCs w:val="0"/>
          <w:color w:val="auto"/>
          <w:sz w:val="24"/>
        </w:rPr>
        <w:t>审查谈判文件和停止评审</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8.</w:t>
      </w:r>
      <w:r>
        <w:rPr>
          <w:rFonts w:ascii="仿宋" w:hAnsi="仿宋" w:eastAsia="仿宋" w:cs="仿宋"/>
          <w:b w:val="0"/>
          <w:color w:val="auto"/>
          <w:sz w:val="24"/>
        </w:rPr>
        <w:t>1</w:t>
      </w:r>
      <w:r>
        <w:rPr>
          <w:rFonts w:hint="eastAsia" w:ascii="仿宋" w:hAnsi="仿宋" w:eastAsia="仿宋" w:cs="仿宋"/>
          <w:b w:val="0"/>
          <w:color w:val="auto"/>
          <w:sz w:val="24"/>
        </w:rPr>
        <w:t>谈判小组正式评审前，应当对谈判文件进行熟悉和理解，内容主要包括谈判文件中供应商资格条件要求、采购项目技术、服务和商务要求、谈判办法和标准、政府采购政策要求以及政府采购合同主要条款等。</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8.</w:t>
      </w:r>
      <w:r>
        <w:rPr>
          <w:rFonts w:ascii="仿宋" w:hAnsi="仿宋" w:eastAsia="仿宋" w:cs="仿宋"/>
          <w:b w:val="0"/>
          <w:color w:val="auto"/>
          <w:sz w:val="24"/>
        </w:rPr>
        <w:t>2</w:t>
      </w:r>
      <w:r>
        <w:rPr>
          <w:rFonts w:hint="eastAsia" w:ascii="仿宋" w:hAnsi="仿宋" w:eastAsia="仿宋" w:cs="仿宋"/>
          <w:b w:val="0"/>
          <w:color w:val="auto"/>
          <w:sz w:val="24"/>
        </w:rPr>
        <w:t>本谈判文件有下列情形之一的，谈判小组应当停止评审：</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1</w:t>
      </w:r>
      <w:r>
        <w:rPr>
          <w:rFonts w:hint="eastAsia" w:ascii="仿宋" w:hAnsi="仿宋" w:eastAsia="仿宋" w:cs="仿宋"/>
          <w:b w:val="0"/>
          <w:color w:val="auto"/>
          <w:sz w:val="24"/>
        </w:rPr>
        <w:t>）谈判文件的规定存在歧义、重大缺陷，导致评审无法进行的；</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2</w:t>
      </w:r>
      <w:r>
        <w:rPr>
          <w:rFonts w:hint="eastAsia" w:ascii="仿宋" w:hAnsi="仿宋" w:eastAsia="仿宋" w:cs="仿宋"/>
          <w:b w:val="0"/>
          <w:color w:val="auto"/>
          <w:sz w:val="24"/>
        </w:rPr>
        <w:t>）谈判文件明显以不合理条件对供应商实行差别待遇或者歧视待遇的；</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3</w:t>
      </w:r>
      <w:r>
        <w:rPr>
          <w:rFonts w:hint="eastAsia" w:ascii="仿宋" w:hAnsi="仿宋" w:eastAsia="仿宋" w:cs="仿宋"/>
          <w:b w:val="0"/>
          <w:color w:val="auto"/>
          <w:sz w:val="24"/>
        </w:rPr>
        <w:t>）采购项目属于国家规定的优先、强制采购范围，但是谈判文件未依法体现优先、强制采购相关规定的；</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4</w:t>
      </w:r>
      <w:r>
        <w:rPr>
          <w:rFonts w:hint="eastAsia" w:ascii="仿宋" w:hAnsi="仿宋" w:eastAsia="仿宋" w:cs="仿宋"/>
          <w:b w:val="0"/>
          <w:color w:val="auto"/>
          <w:sz w:val="24"/>
        </w:rPr>
        <w:t>）采购项目属于政府采购促进中小企业发展的范围，但是谈判文件未依法体现促进中小企业发展相关规定的；</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5</w:t>
      </w:r>
      <w:r>
        <w:rPr>
          <w:rFonts w:hint="eastAsia" w:ascii="仿宋" w:hAnsi="仿宋" w:eastAsia="仿宋" w:cs="仿宋"/>
          <w:b w:val="0"/>
          <w:color w:val="auto"/>
          <w:sz w:val="24"/>
        </w:rPr>
        <w:t>）谈判文件载明的成交原则不合法的；</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6</w:t>
      </w:r>
      <w:r>
        <w:rPr>
          <w:rFonts w:hint="eastAsia" w:ascii="仿宋" w:hAnsi="仿宋" w:eastAsia="仿宋" w:cs="仿宋"/>
          <w:b w:val="0"/>
          <w:color w:val="auto"/>
          <w:sz w:val="24"/>
        </w:rPr>
        <w:t>）谈判文件有违反国家其他有关强制性规定的情形。</w:t>
      </w:r>
    </w:p>
    <w:p>
      <w:pPr>
        <w:widowControl/>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lang w:val="en-US" w:eastAsia="zh-CN"/>
        </w:rPr>
        <w:t>8</w:t>
      </w:r>
      <w:r>
        <w:rPr>
          <w:rFonts w:ascii="仿宋" w:hAnsi="仿宋" w:eastAsia="仿宋" w:cs="仿宋"/>
          <w:color w:val="auto"/>
          <w:sz w:val="24"/>
        </w:rPr>
        <w:t>.3</w:t>
      </w:r>
      <w:r>
        <w:rPr>
          <w:rFonts w:hint="eastAsia" w:ascii="仿宋" w:hAnsi="仿宋" w:eastAsia="仿宋" w:cs="仿宋"/>
          <w:color w:val="auto"/>
          <w:sz w:val="24"/>
        </w:rPr>
        <w:t>出现本</w:t>
      </w:r>
      <w:r>
        <w:rPr>
          <w:rFonts w:hint="eastAsia" w:ascii="仿宋" w:hAnsi="仿宋" w:eastAsia="仿宋" w:cs="仿宋"/>
          <w:color w:val="auto"/>
          <w:sz w:val="24"/>
          <w:lang w:eastAsia="zh-CN"/>
        </w:rPr>
        <w:t>章</w:t>
      </w:r>
      <w:r>
        <w:rPr>
          <w:rFonts w:hint="eastAsia" w:ascii="仿宋" w:hAnsi="仿宋" w:eastAsia="仿宋" w:cs="仿宋"/>
          <w:color w:val="auto"/>
          <w:sz w:val="24"/>
          <w:lang w:val="en-US" w:eastAsia="zh-CN"/>
        </w:rPr>
        <w:t>8</w:t>
      </w:r>
      <w:r>
        <w:rPr>
          <w:rFonts w:ascii="仿宋" w:hAnsi="仿宋" w:eastAsia="仿宋" w:cs="仿宋"/>
          <w:color w:val="auto"/>
          <w:sz w:val="24"/>
        </w:rPr>
        <w:t>.2</w:t>
      </w:r>
      <w:r>
        <w:rPr>
          <w:rFonts w:hint="eastAsia" w:ascii="仿宋" w:hAnsi="仿宋" w:eastAsia="仿宋" w:cs="仿宋"/>
          <w:color w:val="auto"/>
          <w:sz w:val="24"/>
        </w:rPr>
        <w:t>规定应当停止评审情形的，谈判小组应当向采购组织单位书面书面说明情况。除</w:t>
      </w:r>
      <w:r>
        <w:rPr>
          <w:rFonts w:hint="eastAsia" w:ascii="仿宋" w:hAnsi="仿宋" w:eastAsia="仿宋" w:cs="仿宋"/>
          <w:color w:val="auto"/>
          <w:sz w:val="24"/>
          <w:lang w:val="en-US" w:eastAsia="zh-CN"/>
        </w:rPr>
        <w:t>8</w:t>
      </w:r>
      <w:r>
        <w:rPr>
          <w:rFonts w:ascii="仿宋" w:hAnsi="仿宋" w:eastAsia="仿宋" w:cs="仿宋"/>
          <w:color w:val="auto"/>
          <w:sz w:val="24"/>
        </w:rPr>
        <w:t>.2</w:t>
      </w:r>
      <w:r>
        <w:rPr>
          <w:rFonts w:hint="eastAsia" w:ascii="仿宋" w:hAnsi="仿宋" w:eastAsia="仿宋" w:cs="仿宋"/>
          <w:color w:val="auto"/>
          <w:sz w:val="24"/>
        </w:rPr>
        <w:t>规定的情形外，谈判小组不得以任何方式和理由停止评审。</w:t>
      </w:r>
    </w:p>
    <w:p>
      <w:pPr>
        <w:pStyle w:val="12"/>
        <w:spacing w:line="360" w:lineRule="auto"/>
        <w:rPr>
          <w:color w:val="auto"/>
        </w:rPr>
      </w:pPr>
    </w:p>
    <w:p>
      <w:pPr>
        <w:widowControl/>
        <w:spacing w:line="360" w:lineRule="auto"/>
        <w:ind w:firstLine="482" w:firstLineChars="200"/>
        <w:jc w:val="left"/>
        <w:rPr>
          <w:color w:val="auto"/>
        </w:rPr>
      </w:pPr>
      <w:r>
        <w:rPr>
          <w:rFonts w:hint="eastAsia" w:ascii="仿宋" w:hAnsi="仿宋" w:eastAsia="仿宋" w:cs="仿宋"/>
          <w:b/>
          <w:color w:val="auto"/>
          <w:kern w:val="0"/>
          <w:sz w:val="24"/>
          <w:lang w:val="en-US" w:eastAsia="zh-CN"/>
        </w:rPr>
        <w:t>9.</w:t>
      </w:r>
      <w:r>
        <w:rPr>
          <w:rFonts w:ascii="仿宋" w:hAnsi="仿宋" w:eastAsia="仿宋" w:cs="仿宋"/>
          <w:b/>
          <w:color w:val="auto"/>
          <w:kern w:val="0"/>
          <w:sz w:val="24"/>
        </w:rPr>
        <w:t>资格性审查</w:t>
      </w:r>
    </w:p>
    <w:p>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 xml:space="preserve">.1本项目需要评审小组进行资格性检查。评审小组应依据法律法规和谈判文件的规定，对响应文件是否按照规定要求提供资格性证明材料、是否属于禁止参加谈判的供应商、是否按照规定缴纳谈判保证金等进行审查，以确定供应商是否具备谈判资格。 </w:t>
      </w:r>
    </w:p>
    <w:p>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.2资格性审查结束后，评审小组应当出具资格性审查报告，没有通过资格审查的供应商，评审小组应当在资格审查报告中说明原因。</w:t>
      </w:r>
    </w:p>
    <w:p>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.3评审小组应依据谈判文件规定的实质性要求，对符合资格的响应文件进行有效性、完整性和响应程度审查，以确定参加谈判的供应商名单。</w:t>
      </w:r>
    </w:p>
    <w:p>
      <w:pPr>
        <w:widowControl/>
        <w:spacing w:line="360" w:lineRule="auto"/>
        <w:ind w:firstLine="480" w:firstLineChars="200"/>
        <w:jc w:val="left"/>
        <w:rPr>
          <w:rFonts w:ascii="仿宋" w:hAnsi="仿宋" w:eastAsia="仿宋" w:cs="仿宋"/>
          <w:color w:val="auto"/>
          <w:kern w:val="0"/>
          <w:sz w:val="24"/>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 xml:space="preserve">.4采购人或者采购代理机构宣布未通过资格性审查的供应商名单时，应当告知供应商未通过审查的原因。 </w:t>
      </w:r>
    </w:p>
    <w:p>
      <w:pPr>
        <w:pStyle w:val="12"/>
        <w:spacing w:line="360" w:lineRule="auto"/>
        <w:rPr>
          <w:color w:val="auto"/>
        </w:rPr>
      </w:pPr>
    </w:p>
    <w:p>
      <w:pPr>
        <w:keepNext w:val="0"/>
        <w:spacing w:line="360" w:lineRule="auto"/>
        <w:ind w:firstLine="482" w:firstLineChars="200"/>
        <w:outlineLvl w:val="9"/>
        <w:rPr>
          <w:rFonts w:ascii="仿宋" w:hAnsi="仿宋" w:eastAsia="仿宋"/>
          <w:b/>
          <w:bCs w:val="0"/>
          <w:color w:val="auto"/>
          <w:sz w:val="24"/>
        </w:rPr>
      </w:pPr>
      <w:r>
        <w:rPr>
          <w:rFonts w:hint="eastAsia" w:ascii="仿宋" w:hAnsi="仿宋" w:eastAsia="仿宋" w:cs="仿宋"/>
          <w:b/>
          <w:bCs w:val="0"/>
          <w:color w:val="auto"/>
          <w:sz w:val="24"/>
          <w:lang w:val="en-US" w:eastAsia="zh-CN"/>
        </w:rPr>
        <w:t>10.</w:t>
      </w:r>
      <w:r>
        <w:rPr>
          <w:rFonts w:hint="eastAsia" w:ascii="仿宋" w:hAnsi="仿宋" w:eastAsia="仿宋" w:cs="仿宋"/>
          <w:b/>
          <w:bCs w:val="0"/>
          <w:color w:val="auto"/>
          <w:sz w:val="24"/>
        </w:rPr>
        <w:t>谈判</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.1</w:t>
      </w:r>
      <w:r>
        <w:rPr>
          <w:rFonts w:hint="eastAsia" w:ascii="仿宋" w:hAnsi="仿宋" w:eastAsia="仿宋" w:cs="仿宋"/>
          <w:b w:val="0"/>
          <w:color w:val="auto"/>
          <w:sz w:val="24"/>
        </w:rPr>
        <w:t>谈判小组所有成员集中与单一供应商分别进行一轮或多轮谈判，并给予所有参加谈判的供应商平等的谈判机会。谈判顺序以现场抽签的方式确定。谈判过程中，谈判小组可以根据谈判情况调整谈判轮次。</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.2</w:t>
      </w:r>
      <w:r>
        <w:rPr>
          <w:rFonts w:hint="eastAsia" w:ascii="仿宋" w:hAnsi="仿宋" w:eastAsia="仿宋" w:cs="仿宋"/>
          <w:b w:val="0"/>
          <w:color w:val="auto"/>
          <w:sz w:val="24"/>
        </w:rPr>
        <w:t>每轮谈判开始前，谈判小组应根据谈判文件的规定，并结合各供应商的响应文件拟定谈判内容。</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.3</w:t>
      </w:r>
      <w:r>
        <w:rPr>
          <w:rFonts w:hint="eastAsia" w:ascii="仿宋" w:hAnsi="仿宋" w:eastAsia="仿宋" w:cs="仿宋"/>
          <w:b w:val="0"/>
          <w:color w:val="auto"/>
          <w:sz w:val="24"/>
        </w:rPr>
        <w:t>在谈判过程中，谈判小组可以根据谈判文件和谈判情况实质性变动谈判文件的技术、服务要求以及合同草案条款，但不得变动谈判文件中的其他内容。实质性变动的内容，须经采购人代表书面确认。</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.4</w:t>
      </w:r>
      <w:r>
        <w:rPr>
          <w:rFonts w:hint="eastAsia" w:ascii="仿宋" w:hAnsi="仿宋" w:eastAsia="仿宋" w:cs="仿宋"/>
          <w:b w:val="0"/>
          <w:color w:val="auto"/>
          <w:sz w:val="24"/>
        </w:rPr>
        <w:t>对谈判文件作出的实质性变动是谈判文件的有效组成部分，谈判小组应当及时以书面形式同时通知所有参加谈判的供应商。</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.5</w:t>
      </w:r>
      <w:r>
        <w:rPr>
          <w:rFonts w:hint="eastAsia" w:ascii="仿宋" w:hAnsi="仿宋" w:eastAsia="仿宋" w:cs="仿宋"/>
          <w:b w:val="0"/>
          <w:color w:val="auto"/>
          <w:sz w:val="24"/>
        </w:rPr>
        <w:t>谈判过程中，谈判文件变动的，供应商应当按照谈判文件的变动情况和谈判小组的要求重新提交响应文件，并由其法定代表人</w:t>
      </w:r>
      <w:r>
        <w:rPr>
          <w:rFonts w:hint="eastAsia" w:ascii="仿宋" w:hAnsi="仿宋" w:eastAsia="仿宋" w:cs="仿宋"/>
          <w:b w:val="0"/>
          <w:color w:val="auto"/>
          <w:sz w:val="24"/>
          <w:lang w:eastAsia="zh-CN"/>
        </w:rPr>
        <w:t>（</w:t>
      </w:r>
      <w:r>
        <w:rPr>
          <w:rFonts w:hint="eastAsia" w:ascii="仿宋" w:hAnsi="仿宋" w:eastAsia="仿宋" w:cs="仿宋"/>
          <w:b w:val="0"/>
          <w:color w:val="auto"/>
          <w:sz w:val="24"/>
        </w:rPr>
        <w:t>主要负责人</w:t>
      </w:r>
      <w:r>
        <w:rPr>
          <w:rFonts w:hint="eastAsia" w:ascii="仿宋" w:hAnsi="仿宋" w:eastAsia="仿宋" w:cs="仿宋"/>
          <w:b w:val="0"/>
          <w:color w:val="auto"/>
          <w:sz w:val="24"/>
          <w:lang w:eastAsia="zh-CN"/>
        </w:rPr>
        <w:t>）</w:t>
      </w:r>
      <w:r>
        <w:rPr>
          <w:rFonts w:hint="eastAsia" w:ascii="仿宋" w:hAnsi="仿宋" w:eastAsia="仿宋" w:cs="仿宋"/>
          <w:b w:val="0"/>
          <w:color w:val="auto"/>
          <w:sz w:val="24"/>
        </w:rPr>
        <w:t>或其授权代表签字（注：供应商为法人的，应当由其法定代表人或者授权代表签字确认；供应商为其他组织的，应当由其主要负责人或者授权代表签字确认；供应商为自然人的，应当由其本人或者授权代表签字确认）或者加盖公章。谈判过程中，供应商根据谈判情况自行决定变更其响应文件的，谈判小组不得拒绝，并应当给予供应商必要的时间，但是供应商变更其响应文件，应当以有利于满足谈判文件要求为原则，不得变更为不利于满足谈判文件规定，否则，其响应文件作为无效处理。</w:t>
      </w:r>
    </w:p>
    <w:p>
      <w:pPr>
        <w:pStyle w:val="15"/>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w:t>
      </w:r>
      <w:r>
        <w:rPr>
          <w:rFonts w:hint="eastAsia" w:ascii="仿宋" w:hAnsi="仿宋" w:eastAsia="仿宋" w:cs="仿宋"/>
          <w:color w:val="auto"/>
          <w:sz w:val="24"/>
          <w:szCs w:val="24"/>
          <w:lang w:val="zh-CN"/>
        </w:rPr>
        <w:t>有效性、完整性和响应程度审查</w:t>
      </w:r>
    </w:p>
    <w:p>
      <w:pPr>
        <w:pStyle w:val="15"/>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.6.1</w:t>
      </w:r>
      <w:r>
        <w:rPr>
          <w:rFonts w:hint="eastAsia" w:ascii="仿宋" w:hAnsi="仿宋" w:eastAsia="仿宋" w:cs="仿宋"/>
          <w:color w:val="auto"/>
          <w:sz w:val="24"/>
          <w:szCs w:val="24"/>
        </w:rPr>
        <w:t>谈判过程中，</w:t>
      </w:r>
      <w:r>
        <w:rPr>
          <w:rFonts w:hint="eastAsia" w:ascii="仿宋" w:hAnsi="仿宋" w:eastAsia="仿宋" w:cs="仿宋"/>
          <w:color w:val="auto"/>
          <w:sz w:val="24"/>
          <w:szCs w:val="24"/>
          <w:lang w:val="zh-CN"/>
        </w:rPr>
        <w:t>谈判小组对供应商首次递交的响应文件进行审查，审查中发现供应商首次响应文件有下列情况之一的，应按照无效响应文件处理：</w:t>
      </w:r>
    </w:p>
    <w:p>
      <w:pPr>
        <w:pStyle w:val="15"/>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）响应文件的语言、报价货币、知识产权、响应文件有效期不符合采购文件的规定，影响谈判小组评判的；</w:t>
      </w:r>
    </w:p>
    <w:p>
      <w:pPr>
        <w:widowControl/>
        <w:spacing w:line="360" w:lineRule="auto"/>
        <w:ind w:firstLine="480" w:firstLineChars="200"/>
        <w:jc w:val="left"/>
        <w:rPr>
          <w:color w:val="auto"/>
        </w:rPr>
      </w:pPr>
      <w:r>
        <w:rPr>
          <w:rFonts w:ascii="仿宋" w:hAnsi="仿宋" w:eastAsia="仿宋" w:cs="仿宋"/>
          <w:color w:val="auto"/>
          <w:kern w:val="0"/>
          <w:sz w:val="24"/>
        </w:rPr>
        <w:t>（</w:t>
      </w:r>
      <w:r>
        <w:rPr>
          <w:rFonts w:hint="eastAsia" w:ascii="仿宋" w:hAnsi="仿宋" w:eastAsia="仿宋" w:cs="仿宋"/>
          <w:color w:val="auto"/>
          <w:kern w:val="0"/>
          <w:sz w:val="24"/>
        </w:rPr>
        <w:t>2</w:t>
      </w:r>
      <w:r>
        <w:rPr>
          <w:rFonts w:ascii="仿宋" w:hAnsi="仿宋" w:eastAsia="仿宋" w:cs="仿宋"/>
          <w:color w:val="auto"/>
          <w:kern w:val="0"/>
          <w:sz w:val="24"/>
        </w:rPr>
        <w:t xml:space="preserve">）响应文件正副本数量不足的； </w:t>
      </w:r>
    </w:p>
    <w:p>
      <w:pPr>
        <w:widowControl/>
        <w:spacing w:line="360" w:lineRule="auto"/>
        <w:ind w:firstLine="480" w:firstLineChars="200"/>
        <w:jc w:val="left"/>
        <w:rPr>
          <w:color w:val="auto"/>
        </w:rPr>
      </w:pPr>
      <w:r>
        <w:rPr>
          <w:rFonts w:hint="eastAsia" w:ascii="仿宋" w:hAnsi="仿宋" w:eastAsia="仿宋" w:cs="仿宋"/>
          <w:color w:val="auto"/>
          <w:kern w:val="0"/>
          <w:sz w:val="24"/>
        </w:rPr>
        <w:t xml:space="preserve">（3）响应文件组成明显不符合采购文件的规定要求，影响评审委员会评判的； </w:t>
      </w:r>
    </w:p>
    <w:p>
      <w:pPr>
        <w:widowControl/>
        <w:spacing w:line="360" w:lineRule="auto"/>
        <w:ind w:firstLine="480" w:firstLineChars="200"/>
        <w:jc w:val="left"/>
        <w:rPr>
          <w:color w:val="auto"/>
        </w:rPr>
      </w:pPr>
      <w:r>
        <w:rPr>
          <w:rFonts w:hint="eastAsia" w:ascii="仿宋" w:hAnsi="仿宋" w:eastAsia="仿宋" w:cs="仿宋"/>
          <w:color w:val="auto"/>
          <w:kern w:val="0"/>
          <w:sz w:val="24"/>
        </w:rPr>
        <w:t>（</w:t>
      </w:r>
      <w:r>
        <w:rPr>
          <w:rFonts w:hint="eastAsia" w:ascii="仿宋" w:hAnsi="仿宋" w:eastAsia="仿宋" w:cs="仿宋"/>
          <w:color w:val="auto"/>
          <w:kern w:val="0"/>
          <w:sz w:val="24"/>
          <w:lang w:val="en-US" w:eastAsia="zh-CN"/>
        </w:rPr>
        <w:t>4</w:t>
      </w:r>
      <w:r>
        <w:rPr>
          <w:rFonts w:hint="eastAsia" w:ascii="仿宋" w:hAnsi="仿宋" w:eastAsia="仿宋" w:cs="仿宋"/>
          <w:color w:val="auto"/>
          <w:kern w:val="0"/>
          <w:sz w:val="24"/>
        </w:rPr>
        <w:t>）</w:t>
      </w:r>
      <w:r>
        <w:rPr>
          <w:rFonts w:ascii="仿宋" w:hAnsi="仿宋" w:eastAsia="仿宋" w:cs="仿宋"/>
          <w:color w:val="auto"/>
          <w:kern w:val="0"/>
          <w:sz w:val="24"/>
        </w:rPr>
        <w:t>属于竞争性</w:t>
      </w:r>
      <w:r>
        <w:rPr>
          <w:rFonts w:hint="eastAsia" w:ascii="仿宋" w:hAnsi="仿宋" w:eastAsia="仿宋" w:cs="仿宋"/>
          <w:color w:val="auto"/>
          <w:kern w:val="0"/>
          <w:sz w:val="24"/>
        </w:rPr>
        <w:t>谈判</w:t>
      </w:r>
      <w:r>
        <w:rPr>
          <w:rFonts w:ascii="仿宋" w:hAnsi="仿宋" w:eastAsia="仿宋" w:cs="仿宋"/>
          <w:color w:val="auto"/>
          <w:kern w:val="0"/>
          <w:sz w:val="24"/>
        </w:rPr>
        <w:t>文件中无效响应情形的。</w:t>
      </w:r>
    </w:p>
    <w:p>
      <w:pPr>
        <w:pStyle w:val="15"/>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lang w:val="zh-CN"/>
        </w:rPr>
        <w:t>6.2</w:t>
      </w:r>
      <w:r>
        <w:rPr>
          <w:rFonts w:hint="eastAsia" w:ascii="仿宋" w:hAnsi="仿宋" w:eastAsia="仿宋" w:cs="仿宋"/>
          <w:color w:val="auto"/>
          <w:sz w:val="24"/>
          <w:szCs w:val="24"/>
          <w:lang w:val="zh-CN"/>
        </w:rPr>
        <w:t>经最终谈判后，响应文件仍有下列情况之一的，应按照无效响应文件处理：</w:t>
      </w:r>
    </w:p>
    <w:p>
      <w:pPr>
        <w:pStyle w:val="15"/>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1</w:t>
      </w:r>
      <w:r>
        <w:rPr>
          <w:rFonts w:hint="eastAsia" w:ascii="仿宋" w:hAnsi="仿宋" w:eastAsia="仿宋" w:cs="仿宋"/>
          <w:color w:val="auto"/>
          <w:sz w:val="24"/>
          <w:szCs w:val="24"/>
        </w:rPr>
        <w:t>）</w:t>
      </w:r>
      <w:r>
        <w:rPr>
          <w:rFonts w:hint="eastAsia" w:ascii="仿宋" w:hAnsi="仿宋" w:eastAsia="仿宋" w:cs="仿宋"/>
          <w:color w:val="auto"/>
          <w:sz w:val="24"/>
          <w:szCs w:val="24"/>
          <w:lang w:val="zh-CN"/>
        </w:rPr>
        <w:t>响应文件仍不能完全响应采购文件的实质性要求的；</w:t>
      </w:r>
    </w:p>
    <w:p>
      <w:pPr>
        <w:pStyle w:val="15"/>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2</w:t>
      </w:r>
      <w:r>
        <w:rPr>
          <w:rFonts w:hint="eastAsia" w:ascii="仿宋" w:hAnsi="仿宋" w:eastAsia="仿宋" w:cs="仿宋"/>
          <w:color w:val="auto"/>
          <w:sz w:val="24"/>
          <w:szCs w:val="24"/>
        </w:rPr>
        <w:t>）响应文件仍中有规定的其他无效响应情形的。</w:t>
      </w:r>
    </w:p>
    <w:p>
      <w:pPr>
        <w:pStyle w:val="15"/>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lang w:val="zh-CN"/>
        </w:rPr>
        <w:t>.6.3</w:t>
      </w:r>
      <w:r>
        <w:rPr>
          <w:rFonts w:hint="eastAsia" w:ascii="仿宋" w:hAnsi="仿宋" w:eastAsia="仿宋" w:cs="仿宋"/>
          <w:color w:val="auto"/>
          <w:sz w:val="24"/>
          <w:szCs w:val="24"/>
          <w:lang w:val="zh-CN"/>
        </w:rPr>
        <w:t>谈判小组对响应文件签署、盖章等进行审查过程中，有下列情形的，谈判小组应当评定为不影响整个响应文件有效性和采购活动公平竞争，并通过响应文件的有效性审查：</w:t>
      </w:r>
    </w:p>
    <w:p>
      <w:pPr>
        <w:pStyle w:val="15"/>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）响应文件存在个别地方（总数不能超过</w:t>
      </w:r>
      <w:r>
        <w:rPr>
          <w:rFonts w:ascii="仿宋" w:hAnsi="仿宋" w:eastAsia="仿宋" w:cs="仿宋"/>
          <w:color w:val="auto"/>
          <w:sz w:val="24"/>
          <w:szCs w:val="24"/>
          <w:lang w:val="zh-CN"/>
        </w:rPr>
        <w:t>2</w:t>
      </w:r>
      <w:r>
        <w:rPr>
          <w:rFonts w:hint="eastAsia" w:ascii="仿宋" w:hAnsi="仿宋" w:eastAsia="仿宋" w:cs="仿宋"/>
          <w:color w:val="auto"/>
          <w:sz w:val="24"/>
          <w:szCs w:val="24"/>
          <w:lang w:val="zh-CN"/>
        </w:rPr>
        <w:t>个）没有法定代表人（单位负责人）签字，但有法定代表人（单位负责人）的私人印章或者有效授权代理人签字的；</w:t>
      </w:r>
    </w:p>
    <w:p>
      <w:pPr>
        <w:pStyle w:val="15"/>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2</w:t>
      </w:r>
      <w:r>
        <w:rPr>
          <w:rFonts w:hint="eastAsia" w:ascii="仿宋" w:hAnsi="仿宋" w:eastAsia="仿宋" w:cs="仿宋"/>
          <w:color w:val="auto"/>
          <w:sz w:val="24"/>
          <w:szCs w:val="24"/>
          <w:lang w:val="zh-CN"/>
        </w:rPr>
        <w:t>）响应文件除采购文件明确要求加盖单位</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法人</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公章的以外，其他地方以相关专用章加盖的；</w:t>
      </w:r>
    </w:p>
    <w:p>
      <w:pPr>
        <w:pStyle w:val="15"/>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3</w:t>
      </w:r>
      <w:r>
        <w:rPr>
          <w:rFonts w:hint="eastAsia" w:ascii="仿宋" w:hAnsi="仿宋" w:eastAsia="仿宋" w:cs="仿宋"/>
          <w:color w:val="auto"/>
          <w:sz w:val="24"/>
          <w:szCs w:val="24"/>
          <w:lang w:val="zh-CN"/>
        </w:rPr>
        <w:t>）以骑缝章的形式代替响应文件内容逐页盖章的（但是骑缝章模糊不清，印章名称无法辨认的除外）。</w:t>
      </w:r>
    </w:p>
    <w:p>
      <w:pPr>
        <w:pStyle w:val="15"/>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.6.4</w:t>
      </w:r>
      <w:r>
        <w:rPr>
          <w:rFonts w:hint="eastAsia" w:ascii="仿宋" w:hAnsi="仿宋" w:eastAsia="仿宋" w:cs="仿宋"/>
          <w:color w:val="auto"/>
          <w:sz w:val="24"/>
          <w:szCs w:val="24"/>
        </w:rPr>
        <w:t>谈判小组</w:t>
      </w:r>
      <w:r>
        <w:rPr>
          <w:rFonts w:hint="eastAsia" w:ascii="仿宋" w:hAnsi="仿宋" w:eastAsia="仿宋" w:cs="仿宋"/>
          <w:color w:val="auto"/>
          <w:sz w:val="24"/>
          <w:szCs w:val="24"/>
          <w:lang w:val="zh-CN"/>
        </w:rPr>
        <w:t>对所有响应文件的有效性、完整性和响应程度进行审查</w:t>
      </w:r>
      <w:r>
        <w:rPr>
          <w:rFonts w:hint="eastAsia" w:ascii="仿宋" w:hAnsi="仿宋" w:eastAsia="仿宋" w:cs="仿宋"/>
          <w:color w:val="auto"/>
          <w:sz w:val="24"/>
          <w:szCs w:val="24"/>
        </w:rPr>
        <w:t>后，向采购</w:t>
      </w:r>
      <w:r>
        <w:rPr>
          <w:rFonts w:hint="eastAsia" w:ascii="仿宋" w:hAnsi="仿宋" w:eastAsia="仿宋" w:cs="仿宋"/>
          <w:color w:val="auto"/>
          <w:sz w:val="24"/>
          <w:szCs w:val="24"/>
          <w:lang w:val="zh-CN"/>
        </w:rPr>
        <w:t>代理机构</w:t>
      </w:r>
      <w:r>
        <w:rPr>
          <w:rFonts w:hint="eastAsia" w:ascii="仿宋" w:hAnsi="仿宋" w:eastAsia="仿宋" w:cs="仿宋"/>
          <w:color w:val="auto"/>
          <w:sz w:val="24"/>
          <w:szCs w:val="24"/>
        </w:rPr>
        <w:t>出具</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审查报告，确定继续谈判的供应商名单。没有通过</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审查的供应商，谈判小组应在</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审查报告中说明原因。</w:t>
      </w:r>
    </w:p>
    <w:p>
      <w:pPr>
        <w:keepNext w:val="0"/>
        <w:spacing w:line="360" w:lineRule="auto"/>
        <w:ind w:firstLine="480" w:firstLineChars="200"/>
        <w:outlineLvl w:val="9"/>
        <w:rPr>
          <w:rFonts w:ascii="仿宋" w:hAnsi="仿宋" w:eastAsia="仿宋"/>
          <w:b w:val="0"/>
          <w:color w:val="auto"/>
          <w:sz w:val="24"/>
        </w:rPr>
      </w:pPr>
      <w:r>
        <w:rPr>
          <w:rFonts w:hint="default" w:ascii="仿宋" w:hAnsi="仿宋" w:eastAsia="仿宋" w:cs="仿宋"/>
          <w:b w:val="0"/>
          <w:color w:val="auto"/>
          <w:sz w:val="24"/>
          <w:szCs w:val="24"/>
          <w:lang w:eastAsia="zh-CN"/>
        </w:rPr>
        <w:t>1</w:t>
      </w:r>
      <w:r>
        <w:rPr>
          <w:rFonts w:hint="default" w:ascii="仿宋" w:hAnsi="仿宋" w:eastAsia="仿宋" w:cs="仿宋"/>
          <w:b w:val="0"/>
          <w:color w:val="auto"/>
          <w:sz w:val="24"/>
          <w:szCs w:val="24"/>
          <w:lang w:val="en-US" w:eastAsia="zh-CN"/>
        </w:rPr>
        <w:t>0</w:t>
      </w:r>
      <w:r>
        <w:rPr>
          <w:rFonts w:ascii="仿宋" w:hAnsi="仿宋" w:eastAsia="仿宋" w:cs="仿宋"/>
          <w:b w:val="0"/>
          <w:color w:val="auto"/>
          <w:sz w:val="24"/>
        </w:rPr>
        <w:t>.7</w:t>
      </w:r>
      <w:r>
        <w:rPr>
          <w:rFonts w:hint="eastAsia" w:ascii="仿宋" w:hAnsi="仿宋" w:eastAsia="仿宋" w:cs="仿宋"/>
          <w:b w:val="0"/>
          <w:color w:val="auto"/>
          <w:sz w:val="24"/>
        </w:rPr>
        <w:t>谈判过程中，谈判的任何一方不得透露与谈判有关的其他供应商的技术资料、价格和其他信息。</w:t>
      </w:r>
    </w:p>
    <w:p>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.8</w:t>
      </w:r>
      <w:r>
        <w:rPr>
          <w:rFonts w:hint="eastAsia" w:ascii="仿宋" w:hAnsi="仿宋" w:eastAsia="仿宋" w:cs="仿宋"/>
          <w:b w:val="0"/>
          <w:color w:val="auto"/>
          <w:sz w:val="24"/>
        </w:rPr>
        <w:t>谈判过程中，谈判小组发现或者知晓供应商存在违法、违纪行为的，谈判小组应当将该供应商响应文件作无效处理，不允许其提交最后报价。</w:t>
      </w:r>
    </w:p>
    <w:p>
      <w:pPr>
        <w:keepNext w:val="0"/>
        <w:spacing w:line="360" w:lineRule="auto"/>
        <w:ind w:firstLine="480" w:firstLineChars="200"/>
        <w:outlineLvl w:val="9"/>
        <w:rPr>
          <w:rFonts w:ascii="仿宋" w:hAnsi="仿宋" w:eastAsia="仿宋" w:cs="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.9</w:t>
      </w:r>
      <w:r>
        <w:rPr>
          <w:rFonts w:hint="eastAsia" w:ascii="仿宋" w:hAnsi="仿宋" w:eastAsia="仿宋" w:cs="仿宋"/>
          <w:b w:val="0"/>
          <w:color w:val="auto"/>
          <w:sz w:val="24"/>
        </w:rPr>
        <w:t>谈判完成后，谈判小组应出具谈判情况记录表，谈判情况记录表需包含谈判内容、谈判意见、实质性变动内容等。</w:t>
      </w:r>
    </w:p>
    <w:p>
      <w:pPr>
        <w:spacing w:line="360" w:lineRule="auto"/>
        <w:rPr>
          <w:color w:val="auto"/>
        </w:rPr>
      </w:pPr>
    </w:p>
    <w:p>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11.</w:t>
      </w:r>
      <w:r>
        <w:rPr>
          <w:rFonts w:hint="eastAsia" w:ascii="仿宋" w:hAnsi="仿宋" w:eastAsia="仿宋" w:cs="仿宋"/>
          <w:b/>
          <w:bCs/>
          <w:color w:val="auto"/>
          <w:sz w:val="24"/>
        </w:rPr>
        <w:t>报价</w:t>
      </w:r>
    </w:p>
    <w:p>
      <w:pPr>
        <w:spacing w:line="360" w:lineRule="auto"/>
        <w:ind w:firstLine="480" w:firstLineChars="200"/>
        <w:rPr>
          <w:rFonts w:ascii="仿宋" w:hAnsi="仿宋" w:eastAsia="仿宋"/>
          <w:color w:val="auto"/>
          <w:sz w:val="24"/>
          <w:lang w:val="zh-CN"/>
        </w:rPr>
      </w:pPr>
      <w:r>
        <w:rPr>
          <w:rFonts w:hint="eastAsia" w:ascii="仿宋" w:hAnsi="仿宋" w:eastAsia="仿宋" w:cs="仿宋"/>
          <w:color w:val="auto"/>
          <w:sz w:val="24"/>
          <w:lang w:val="en-US" w:eastAsia="zh-CN"/>
        </w:rPr>
        <w:t>11</w:t>
      </w:r>
      <w:r>
        <w:rPr>
          <w:rFonts w:ascii="仿宋" w:hAnsi="仿宋" w:eastAsia="仿宋" w:cs="仿宋"/>
          <w:color w:val="auto"/>
          <w:sz w:val="24"/>
        </w:rPr>
        <w:t>.1</w:t>
      </w:r>
      <w:r>
        <w:rPr>
          <w:rFonts w:hint="eastAsia" w:ascii="仿宋" w:hAnsi="仿宋" w:eastAsia="仿宋" w:cs="仿宋"/>
          <w:color w:val="auto"/>
          <w:sz w:val="24"/>
        </w:rPr>
        <w:t>除</w:t>
      </w:r>
      <w:r>
        <w:rPr>
          <w:rFonts w:hint="eastAsia" w:ascii="仿宋" w:hAnsi="仿宋" w:eastAsia="仿宋" w:cs="仿宋"/>
          <w:color w:val="auto"/>
          <w:sz w:val="24"/>
          <w:lang w:eastAsia="zh-CN"/>
        </w:rPr>
        <w:t>其他</w:t>
      </w:r>
      <w:r>
        <w:rPr>
          <w:rFonts w:hint="eastAsia" w:ascii="仿宋" w:hAnsi="仿宋" w:eastAsia="仿宋" w:cs="仿宋"/>
          <w:color w:val="auto"/>
          <w:sz w:val="24"/>
        </w:rPr>
        <w:t>响应文件中的</w:t>
      </w:r>
      <w:r>
        <w:rPr>
          <w:rFonts w:hint="eastAsia" w:ascii="仿宋" w:hAnsi="仿宋" w:eastAsia="仿宋" w:cs="仿宋"/>
          <w:color w:val="auto"/>
          <w:sz w:val="24"/>
          <w:lang w:eastAsia="zh-CN"/>
        </w:rPr>
        <w:t>首轮</w:t>
      </w:r>
      <w:r>
        <w:rPr>
          <w:rFonts w:hint="eastAsia" w:ascii="仿宋" w:hAnsi="仿宋" w:eastAsia="仿宋" w:cs="仿宋"/>
          <w:color w:val="auto"/>
          <w:sz w:val="24"/>
        </w:rPr>
        <w:t>报价以外，供应商报价采用现场报价。现场报价前，谈判小组应对供应商</w:t>
      </w:r>
      <w:r>
        <w:rPr>
          <w:rFonts w:hint="eastAsia" w:ascii="仿宋" w:hAnsi="仿宋" w:eastAsia="仿宋" w:cs="仿宋"/>
          <w:color w:val="auto"/>
          <w:sz w:val="24"/>
          <w:lang w:eastAsia="zh-CN"/>
        </w:rPr>
        <w:t>其他</w:t>
      </w:r>
      <w:r>
        <w:rPr>
          <w:rFonts w:hint="eastAsia" w:ascii="仿宋" w:hAnsi="仿宋" w:eastAsia="仿宋" w:cs="仿宋"/>
          <w:color w:val="auto"/>
          <w:sz w:val="24"/>
        </w:rPr>
        <w:t>响应文件中的</w:t>
      </w:r>
      <w:r>
        <w:rPr>
          <w:rFonts w:hint="eastAsia" w:ascii="仿宋" w:hAnsi="仿宋" w:eastAsia="仿宋" w:cs="仿宋"/>
          <w:color w:val="auto"/>
          <w:sz w:val="24"/>
          <w:lang w:eastAsia="zh-CN"/>
        </w:rPr>
        <w:t>首轮</w:t>
      </w:r>
      <w:r>
        <w:rPr>
          <w:rFonts w:hint="eastAsia" w:ascii="仿宋" w:hAnsi="仿宋" w:eastAsia="仿宋" w:cs="仿宋"/>
          <w:color w:val="auto"/>
          <w:sz w:val="24"/>
        </w:rPr>
        <w:t>报价进行评审。</w:t>
      </w:r>
    </w:p>
    <w:p>
      <w:pPr>
        <w:widowControl/>
        <w:spacing w:line="360" w:lineRule="auto"/>
        <w:ind w:firstLine="480" w:firstLineChars="200"/>
        <w:jc w:val="left"/>
        <w:rPr>
          <w:color w:val="auto"/>
        </w:rPr>
      </w:pPr>
      <w:r>
        <w:rPr>
          <w:rFonts w:hint="eastAsia" w:ascii="仿宋" w:hAnsi="仿宋" w:eastAsia="仿宋" w:cs="仿宋"/>
          <w:color w:val="auto"/>
          <w:kern w:val="0"/>
          <w:sz w:val="24"/>
        </w:rPr>
        <w:t>（1）</w:t>
      </w:r>
      <w:r>
        <w:rPr>
          <w:rFonts w:ascii="仿宋" w:hAnsi="仿宋" w:eastAsia="仿宋" w:cs="仿宋"/>
          <w:color w:val="auto"/>
          <w:kern w:val="0"/>
          <w:sz w:val="24"/>
        </w:rPr>
        <w:t>报价超过竞争性</w:t>
      </w:r>
      <w:r>
        <w:rPr>
          <w:rFonts w:hint="eastAsia" w:ascii="仿宋" w:hAnsi="仿宋" w:eastAsia="仿宋" w:cs="仿宋"/>
          <w:color w:val="auto"/>
          <w:kern w:val="0"/>
          <w:sz w:val="24"/>
        </w:rPr>
        <w:t>谈判</w:t>
      </w:r>
      <w:r>
        <w:rPr>
          <w:rFonts w:ascii="仿宋" w:hAnsi="仿宋" w:eastAsia="仿宋" w:cs="仿宋"/>
          <w:color w:val="auto"/>
          <w:kern w:val="0"/>
          <w:sz w:val="24"/>
        </w:rPr>
        <w:t>文件规定的采购预算（或最高限价）或者相关报价不符</w:t>
      </w:r>
      <w:r>
        <w:rPr>
          <w:rFonts w:hint="eastAsia" w:ascii="仿宋" w:hAnsi="仿宋" w:eastAsia="仿宋" w:cs="仿宋"/>
          <w:color w:val="auto"/>
          <w:kern w:val="0"/>
          <w:sz w:val="24"/>
        </w:rPr>
        <w:t>合采购文件其他的报价规定的，应按照无效响应文件处理。</w:t>
      </w:r>
    </w:p>
    <w:p>
      <w:pPr>
        <w:pStyle w:val="15"/>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hint="eastAsia" w:ascii="仿宋" w:hAnsi="仿宋" w:eastAsia="仿宋" w:cs="仿宋"/>
          <w:color w:val="auto"/>
          <w:sz w:val="24"/>
          <w:szCs w:val="24"/>
        </w:rPr>
        <w:t>2</w:t>
      </w:r>
      <w:r>
        <w:rPr>
          <w:rFonts w:hint="eastAsia" w:ascii="仿宋" w:hAnsi="仿宋" w:eastAsia="仿宋" w:cs="仿宋"/>
          <w:color w:val="auto"/>
          <w:sz w:val="24"/>
          <w:szCs w:val="24"/>
          <w:lang w:val="zh-CN"/>
        </w:rPr>
        <w:t>）谈判小组对供应商已标价的项目单价进行评审，对明显不合理的单价（如明显偏高或偏低）项目</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应在评审报告中记录，提醒采购人在签订合同时注意，并在合同履行过程中加强风险防范。</w:t>
      </w:r>
    </w:p>
    <w:p>
      <w:pPr>
        <w:widowControl/>
        <w:spacing w:line="360" w:lineRule="auto"/>
        <w:ind w:firstLine="480" w:firstLineChars="200"/>
        <w:jc w:val="left"/>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.2</w:t>
      </w:r>
      <w:r>
        <w:rPr>
          <w:rFonts w:hint="eastAsia" w:ascii="仿宋" w:hAnsi="仿宋" w:eastAsia="仿宋" w:cs="仿宋"/>
          <w:color w:val="auto"/>
          <w:sz w:val="24"/>
        </w:rPr>
        <w:t>谈判</w:t>
      </w:r>
      <w:r>
        <w:rPr>
          <w:rFonts w:ascii="仿宋" w:hAnsi="仿宋" w:eastAsia="仿宋" w:cs="仿宋"/>
          <w:color w:val="auto"/>
          <w:kern w:val="0"/>
          <w:sz w:val="24"/>
        </w:rPr>
        <w:t>文件能够详细列明采购标的的技术、服务要求的，</w:t>
      </w:r>
      <w:r>
        <w:rPr>
          <w:rFonts w:hint="eastAsia" w:ascii="仿宋" w:hAnsi="仿宋" w:eastAsia="仿宋" w:cs="仿宋"/>
          <w:color w:val="auto"/>
          <w:kern w:val="0"/>
          <w:sz w:val="24"/>
        </w:rPr>
        <w:t>谈判</w:t>
      </w:r>
      <w:r>
        <w:rPr>
          <w:rFonts w:ascii="仿宋" w:hAnsi="仿宋" w:eastAsia="仿宋" w:cs="仿宋"/>
          <w:color w:val="auto"/>
          <w:kern w:val="0"/>
          <w:sz w:val="24"/>
        </w:rPr>
        <w:t>结束后，</w:t>
      </w:r>
      <w:r>
        <w:rPr>
          <w:rFonts w:hint="eastAsia" w:ascii="仿宋" w:hAnsi="仿宋" w:eastAsia="仿宋" w:cs="仿宋"/>
          <w:color w:val="auto"/>
          <w:sz w:val="24"/>
        </w:rPr>
        <w:t>谈判小组应当要求所有实质性响应的供应商在规定时间内提交最后报价或者多轮报价后再最后报价，提交最后报价的供应商不得少于</w:t>
      </w:r>
      <w:r>
        <w:rPr>
          <w:rFonts w:ascii="仿宋" w:hAnsi="仿宋" w:eastAsia="仿宋" w:cs="仿宋"/>
          <w:color w:val="auto"/>
          <w:sz w:val="24"/>
        </w:rPr>
        <w:t>3</w:t>
      </w:r>
      <w:r>
        <w:rPr>
          <w:rFonts w:hint="eastAsia" w:ascii="仿宋" w:hAnsi="仿宋" w:eastAsia="仿宋" w:cs="仿宋"/>
          <w:color w:val="auto"/>
          <w:sz w:val="24"/>
        </w:rPr>
        <w:t>家。两轮（首次响应文件中的报价为第一轮）以上报价的，供应商在未提高响应文件中承诺的产品及其服务质量的情况下，其最后报价不得高于对该项目之前的报价，否则，谈判小组应当对其响应文件按无效处理，并书面告知供应商，说明理由。谈判小组认为供应商最后报价明显低于成本价，在谈判小组发出质询函后供应商未能提供合理的成本分析和价格构成的或对质函询的解释未被谈判小组采信的，应按照无效响应文件处理。</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.3</w:t>
      </w:r>
      <w:r>
        <w:rPr>
          <w:rFonts w:hint="eastAsia" w:ascii="仿宋" w:hAnsi="仿宋" w:eastAsia="仿宋" w:cs="仿宋"/>
          <w:color w:val="auto"/>
          <w:sz w:val="24"/>
        </w:rPr>
        <w:t>参与报价的供应商按谈判小组要求进行报价。最后报价超过竞争性谈判文件规定的采购预算（或最高限价）或者相关报价不符合采购文件其他的报价规定的，应按照无效响应文件处理。供应商现场报价大写金额和小写金额不一致的，以大写金额为准，但大写金额文字存在错误的，应当先对大写金额的文字错误进行澄清、说明或者更正，再行修正。修正后的报价经供应商确认后产生约束力，供应商不确认的，其响应文件作为无效处理。</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.4</w:t>
      </w:r>
      <w:r>
        <w:rPr>
          <w:rFonts w:hint="eastAsia" w:ascii="仿宋" w:hAnsi="仿宋" w:eastAsia="仿宋" w:cs="仿宋"/>
          <w:color w:val="auto"/>
          <w:sz w:val="24"/>
        </w:rPr>
        <w:t>供应商报价应当由法定代表人</w:t>
      </w:r>
      <w:r>
        <w:rPr>
          <w:rFonts w:hint="eastAsia" w:ascii="仿宋" w:hAnsi="仿宋" w:eastAsia="仿宋" w:cs="仿宋"/>
          <w:color w:val="auto"/>
          <w:sz w:val="24"/>
          <w:lang w:eastAsia="zh-CN"/>
        </w:rPr>
        <w:t>（</w:t>
      </w:r>
      <w:r>
        <w:rPr>
          <w:rFonts w:hint="eastAsia" w:ascii="仿宋" w:hAnsi="仿宋" w:eastAsia="仿宋" w:cs="仿宋"/>
          <w:color w:val="auto"/>
          <w:sz w:val="24"/>
        </w:rPr>
        <w:t>主要负责人</w:t>
      </w:r>
      <w:r>
        <w:rPr>
          <w:rFonts w:hint="eastAsia" w:ascii="仿宋" w:hAnsi="仿宋" w:eastAsia="仿宋" w:cs="仿宋"/>
          <w:color w:val="auto"/>
          <w:sz w:val="24"/>
          <w:lang w:eastAsia="zh-CN"/>
        </w:rPr>
        <w:t>）</w:t>
      </w:r>
      <w:r>
        <w:rPr>
          <w:rFonts w:hint="eastAsia" w:ascii="仿宋" w:hAnsi="仿宋" w:eastAsia="仿宋" w:cs="仿宋"/>
          <w:color w:val="auto"/>
          <w:sz w:val="24"/>
        </w:rPr>
        <w:t>或其授权代表签字确认（注：供应商为法人的，应当由其法定代表人或者授权代表签字确认；供应商为其他组织的，应当由其主要负责人或者授权代表签字确认；供应商为自然人的，应当由其本人或者授权代表签字确认）或加盖公章。报价是供应商响应文件的有效组成部分。</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.5</w:t>
      </w:r>
      <w:r>
        <w:rPr>
          <w:rFonts w:hint="eastAsia" w:ascii="仿宋" w:hAnsi="仿宋" w:eastAsia="仿宋" w:cs="仿宋"/>
          <w:color w:val="auto"/>
          <w:sz w:val="24"/>
        </w:rPr>
        <w:t>采购人在谈判文件中直接确定了采购项目采购价格的，供应商的报价应当按照谈判文件中确定了的采购项目采购价格进行报价，不得增加或者减少，否则其报价无效，其响应文件将作为无效处理。</w:t>
      </w:r>
    </w:p>
    <w:p>
      <w:pPr>
        <w:pStyle w:val="12"/>
        <w:spacing w:line="360" w:lineRule="auto"/>
        <w:rPr>
          <w:color w:val="auto"/>
        </w:rPr>
      </w:pPr>
    </w:p>
    <w:p>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12.</w:t>
      </w:r>
      <w:r>
        <w:rPr>
          <w:rFonts w:hint="eastAsia" w:ascii="仿宋" w:hAnsi="仿宋" w:eastAsia="仿宋" w:cs="仿宋"/>
          <w:b/>
          <w:bCs/>
          <w:color w:val="auto"/>
          <w:sz w:val="24"/>
        </w:rPr>
        <w:t>谈判小组复核</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供应商最后报价结束后，谈判小组应当进行评审复核，对拟推荐为成交候选供应商的、报价最低的、</w:t>
      </w:r>
      <w:r>
        <w:rPr>
          <w:rFonts w:hint="eastAsia" w:ascii="仿宋" w:hAnsi="仿宋" w:eastAsia="仿宋" w:cs="仿宋"/>
          <w:bCs/>
          <w:color w:val="auto"/>
          <w:sz w:val="24"/>
        </w:rPr>
        <w:t>供应商资格审查未通过的、</w:t>
      </w:r>
      <w:r>
        <w:rPr>
          <w:rFonts w:hint="eastAsia" w:ascii="仿宋" w:hAnsi="仿宋" w:eastAsia="仿宋" w:cs="仿宋"/>
          <w:color w:val="auto"/>
          <w:sz w:val="24"/>
        </w:rPr>
        <w:t>供应商响应文件作无效处理的重点复核。</w:t>
      </w:r>
    </w:p>
    <w:p>
      <w:pPr>
        <w:pStyle w:val="12"/>
        <w:spacing w:line="360" w:lineRule="auto"/>
        <w:rPr>
          <w:color w:val="auto"/>
        </w:rPr>
      </w:pPr>
    </w:p>
    <w:p>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13.</w:t>
      </w:r>
      <w:r>
        <w:rPr>
          <w:rFonts w:hint="eastAsia" w:ascii="仿宋" w:hAnsi="仿宋" w:eastAsia="仿宋" w:cs="仿宋"/>
          <w:b/>
          <w:bCs/>
          <w:color w:val="auto"/>
          <w:sz w:val="24"/>
        </w:rPr>
        <w:t>推荐成交候选供应商</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谈判小组应当根据报价低到高顺序推荐</w:t>
      </w:r>
      <w:r>
        <w:rPr>
          <w:rFonts w:ascii="仿宋" w:hAnsi="仿宋" w:eastAsia="仿宋" w:cs="仿宋"/>
          <w:color w:val="auto"/>
          <w:sz w:val="24"/>
        </w:rPr>
        <w:t>3</w:t>
      </w:r>
      <w:r>
        <w:rPr>
          <w:rFonts w:hint="eastAsia" w:ascii="仿宋" w:hAnsi="仿宋" w:eastAsia="仿宋" w:cs="仿宋"/>
          <w:color w:val="auto"/>
          <w:sz w:val="24"/>
        </w:rPr>
        <w:t>家以上成交候选供应商，并编写</w:t>
      </w:r>
      <w:r>
        <w:rPr>
          <w:rFonts w:hint="eastAsia" w:ascii="仿宋" w:hAnsi="仿宋" w:eastAsia="仿宋" w:cs="仿宋"/>
          <w:color w:val="auto"/>
          <w:sz w:val="24"/>
          <w:lang w:eastAsia="zh-CN"/>
        </w:rPr>
        <w:t>评审报告</w:t>
      </w:r>
      <w:r>
        <w:rPr>
          <w:rFonts w:hint="eastAsia" w:ascii="仿宋" w:hAnsi="仿宋" w:eastAsia="仿宋" w:cs="仿宋"/>
          <w:color w:val="auto"/>
          <w:sz w:val="24"/>
        </w:rPr>
        <w:t>。最后报价相同的，成交候选供应商并列，由采购人随机抽签确定成交供应商。</w:t>
      </w:r>
    </w:p>
    <w:p>
      <w:pPr>
        <w:pStyle w:val="12"/>
        <w:spacing w:line="360" w:lineRule="auto"/>
        <w:rPr>
          <w:color w:val="auto"/>
        </w:rPr>
      </w:pPr>
    </w:p>
    <w:p>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14.</w:t>
      </w:r>
      <w:r>
        <w:rPr>
          <w:rFonts w:hint="eastAsia" w:ascii="仿宋" w:hAnsi="仿宋" w:eastAsia="仿宋" w:cs="仿宋"/>
          <w:b/>
          <w:bCs/>
          <w:color w:val="auto"/>
          <w:sz w:val="24"/>
        </w:rPr>
        <w:t>编写</w:t>
      </w:r>
      <w:r>
        <w:rPr>
          <w:rFonts w:hint="eastAsia" w:ascii="仿宋" w:hAnsi="仿宋" w:eastAsia="仿宋" w:cs="仿宋"/>
          <w:b/>
          <w:bCs/>
          <w:color w:val="auto"/>
          <w:sz w:val="24"/>
          <w:lang w:eastAsia="zh-CN"/>
        </w:rPr>
        <w:t>评审</w:t>
      </w:r>
      <w:r>
        <w:rPr>
          <w:rFonts w:hint="eastAsia" w:ascii="仿宋" w:hAnsi="仿宋" w:eastAsia="仿宋" w:cs="仿宋"/>
          <w:b/>
          <w:bCs/>
          <w:color w:val="auto"/>
          <w:sz w:val="24"/>
        </w:rPr>
        <w:t>报告</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谈判小组推荐成交候选供应商后，应向采购代理机构出具</w:t>
      </w:r>
      <w:r>
        <w:rPr>
          <w:rFonts w:hint="eastAsia" w:ascii="仿宋" w:hAnsi="仿宋" w:eastAsia="仿宋" w:cs="仿宋"/>
          <w:color w:val="auto"/>
          <w:sz w:val="24"/>
          <w:lang w:eastAsia="zh-CN"/>
        </w:rPr>
        <w:t>评审报告</w:t>
      </w:r>
      <w:r>
        <w:rPr>
          <w:rFonts w:hint="eastAsia" w:ascii="仿宋" w:hAnsi="仿宋" w:eastAsia="仿宋" w:cs="仿宋"/>
          <w:color w:val="auto"/>
          <w:sz w:val="24"/>
        </w:rPr>
        <w:t>。</w:t>
      </w:r>
      <w:r>
        <w:rPr>
          <w:rFonts w:hint="eastAsia" w:ascii="仿宋" w:hAnsi="仿宋" w:eastAsia="仿宋" w:cs="仿宋"/>
          <w:color w:val="auto"/>
          <w:sz w:val="24"/>
          <w:lang w:eastAsia="zh-CN"/>
        </w:rPr>
        <w:t>评审报告</w:t>
      </w:r>
      <w:r>
        <w:rPr>
          <w:rFonts w:hint="eastAsia" w:ascii="仿宋" w:hAnsi="仿宋" w:eastAsia="仿宋" w:cs="仿宋"/>
          <w:color w:val="auto"/>
          <w:sz w:val="24"/>
        </w:rPr>
        <w:t>应当包括以下主要内容：</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）邀请供应商参加采购活动的具体方式和相关情况；</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）响应文件开启日期和地点；</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）获取谈判文件的供应商名单和谈判小组成员名单；</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4</w:t>
      </w:r>
      <w:r>
        <w:rPr>
          <w:rFonts w:hint="eastAsia" w:ascii="仿宋" w:hAnsi="仿宋" w:eastAsia="仿宋" w:cs="仿宋"/>
          <w:color w:val="auto"/>
          <w:sz w:val="24"/>
        </w:rPr>
        <w:t>）评审情况记录和说明，包括对供应商的资格审查情况、供应商响应文件审查情况、谈判情况、报价情况等；</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5</w:t>
      </w:r>
      <w:r>
        <w:rPr>
          <w:rFonts w:hint="eastAsia" w:ascii="仿宋" w:hAnsi="仿宋" w:eastAsia="仿宋" w:cs="仿宋"/>
          <w:color w:val="auto"/>
          <w:sz w:val="24"/>
        </w:rPr>
        <w:t>）提出的成交候选供应商的排序名单及理由。</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lang w:eastAsia="zh-CN"/>
        </w:rPr>
        <w:t>评审报告</w:t>
      </w:r>
      <w:r>
        <w:rPr>
          <w:rFonts w:hint="eastAsia" w:ascii="仿宋" w:hAnsi="仿宋" w:eastAsia="仿宋" w:cs="仿宋"/>
          <w:color w:val="auto"/>
          <w:sz w:val="24"/>
        </w:rPr>
        <w:t>应当由谈判小组全体人员签字认可。谈判小组成员对</w:t>
      </w:r>
      <w:r>
        <w:rPr>
          <w:rFonts w:hint="eastAsia" w:ascii="仿宋" w:hAnsi="仿宋" w:eastAsia="仿宋" w:cs="仿宋"/>
          <w:color w:val="auto"/>
          <w:sz w:val="24"/>
          <w:lang w:eastAsia="zh-CN"/>
        </w:rPr>
        <w:t>评审报告</w:t>
      </w:r>
      <w:r>
        <w:rPr>
          <w:rFonts w:hint="eastAsia" w:ascii="仿宋" w:hAnsi="仿宋" w:eastAsia="仿宋" w:cs="仿宋"/>
          <w:color w:val="auto"/>
          <w:sz w:val="24"/>
        </w:rPr>
        <w:t>有异议的，谈判小组按照少数服从多数的原则推荐成交候选供应商，采购程序继续进行。对</w:t>
      </w:r>
      <w:r>
        <w:rPr>
          <w:rFonts w:hint="eastAsia" w:ascii="仿宋" w:hAnsi="仿宋" w:eastAsia="仿宋" w:cs="仿宋"/>
          <w:color w:val="auto"/>
          <w:sz w:val="24"/>
          <w:lang w:eastAsia="zh-CN"/>
        </w:rPr>
        <w:t>评审报告</w:t>
      </w:r>
      <w:r>
        <w:rPr>
          <w:rFonts w:hint="eastAsia" w:ascii="仿宋" w:hAnsi="仿宋" w:eastAsia="仿宋" w:cs="仿宋"/>
          <w:color w:val="auto"/>
          <w:sz w:val="24"/>
        </w:rPr>
        <w:t>有异议的谈判小组成员，应当在报告上签署不同意见并说明理由，由谈判小组书面记录相关情况。谈判小组成员拒绝在报告上签字又不书面说明其不同意见和理由的，视为同意</w:t>
      </w:r>
      <w:r>
        <w:rPr>
          <w:rFonts w:hint="eastAsia" w:ascii="仿宋" w:hAnsi="仿宋" w:eastAsia="仿宋" w:cs="仿宋"/>
          <w:color w:val="auto"/>
          <w:sz w:val="24"/>
          <w:lang w:eastAsia="zh-CN"/>
        </w:rPr>
        <w:t>评审报告</w:t>
      </w:r>
      <w:r>
        <w:rPr>
          <w:rFonts w:hint="eastAsia" w:ascii="仿宋" w:hAnsi="仿宋" w:eastAsia="仿宋" w:cs="仿宋"/>
          <w:color w:val="auto"/>
          <w:sz w:val="24"/>
        </w:rPr>
        <w:t>。</w:t>
      </w:r>
    </w:p>
    <w:p>
      <w:pPr>
        <w:spacing w:line="360" w:lineRule="auto"/>
        <w:ind w:firstLine="480" w:firstLineChars="200"/>
        <w:rPr>
          <w:rFonts w:ascii="仿宋" w:hAnsi="仿宋" w:eastAsia="仿宋" w:cs="仿宋"/>
          <w:color w:val="auto"/>
          <w:sz w:val="24"/>
        </w:rPr>
      </w:pPr>
    </w:p>
    <w:p>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15.</w:t>
      </w:r>
      <w:r>
        <w:rPr>
          <w:rFonts w:hint="eastAsia" w:ascii="仿宋" w:hAnsi="仿宋" w:eastAsia="仿宋" w:cs="仿宋"/>
          <w:b/>
          <w:bCs/>
          <w:color w:val="auto"/>
          <w:sz w:val="24"/>
        </w:rPr>
        <w:t>谈判异议处理规则</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在谈判过程中，谈判小组成员</w:t>
      </w:r>
      <w:r>
        <w:rPr>
          <w:rFonts w:hint="eastAsia" w:ascii="仿宋" w:hAnsi="仿宋" w:eastAsia="仿宋" w:cs="仿宋"/>
          <w:bCs/>
          <w:color w:val="auto"/>
          <w:sz w:val="24"/>
        </w:rPr>
        <w:t>对于资格性审查、</w:t>
      </w:r>
      <w:r>
        <w:rPr>
          <w:rFonts w:hint="eastAsia" w:ascii="仿宋" w:hAnsi="仿宋" w:eastAsia="仿宋" w:cs="仿宋"/>
          <w:color w:val="auto"/>
          <w:sz w:val="24"/>
        </w:rPr>
        <w:t>对响应文件是否符合谈判文件规定存在争议的，应当以少数服从多数的原则处理，但不违背谈判文件规定。有不同意见的谈判小组成员认为认定过程和结果不符合法律法规或者谈判文件规定的，应当在</w:t>
      </w:r>
      <w:r>
        <w:rPr>
          <w:rFonts w:hint="eastAsia" w:ascii="仿宋" w:hAnsi="仿宋" w:eastAsia="仿宋" w:cs="仿宋"/>
          <w:color w:val="auto"/>
          <w:sz w:val="24"/>
          <w:lang w:eastAsia="zh-CN"/>
        </w:rPr>
        <w:t>评审报告</w:t>
      </w:r>
      <w:r>
        <w:rPr>
          <w:rFonts w:hint="eastAsia" w:ascii="仿宋" w:hAnsi="仿宋" w:eastAsia="仿宋" w:cs="仿宋"/>
          <w:color w:val="auto"/>
          <w:sz w:val="24"/>
        </w:rPr>
        <w:t>中予以反映。</w:t>
      </w:r>
    </w:p>
    <w:p>
      <w:pPr>
        <w:pStyle w:val="12"/>
        <w:spacing w:line="360" w:lineRule="auto"/>
        <w:rPr>
          <w:color w:val="auto"/>
        </w:rPr>
      </w:pPr>
    </w:p>
    <w:p>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16.</w:t>
      </w:r>
      <w:r>
        <w:rPr>
          <w:rFonts w:hint="eastAsia" w:ascii="仿宋" w:hAnsi="仿宋" w:eastAsia="仿宋" w:cs="仿宋"/>
          <w:b/>
          <w:bCs/>
          <w:color w:val="auto"/>
          <w:sz w:val="24"/>
        </w:rPr>
        <w:t>供应商澄清、说明</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16</w:t>
      </w:r>
      <w:r>
        <w:rPr>
          <w:rFonts w:ascii="仿宋" w:hAnsi="仿宋" w:eastAsia="仿宋" w:cs="仿宋"/>
          <w:color w:val="auto"/>
          <w:sz w:val="24"/>
        </w:rPr>
        <w:t>.1</w:t>
      </w:r>
      <w:r>
        <w:rPr>
          <w:rFonts w:hint="eastAsia" w:ascii="仿宋" w:hAnsi="仿宋" w:eastAsia="仿宋" w:cs="仿宋"/>
          <w:color w:val="auto"/>
          <w:sz w:val="24"/>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lang w:val="en-US" w:eastAsia="zh-CN"/>
        </w:rPr>
        <w:t>16</w:t>
      </w:r>
      <w:r>
        <w:rPr>
          <w:rFonts w:ascii="仿宋" w:hAnsi="仿宋" w:eastAsia="仿宋" w:cs="仿宋"/>
          <w:color w:val="auto"/>
          <w:sz w:val="24"/>
        </w:rPr>
        <w:t>.2</w:t>
      </w:r>
      <w:r>
        <w:rPr>
          <w:rFonts w:hint="eastAsia" w:ascii="仿宋" w:hAnsi="仿宋" w:eastAsia="仿宋" w:cs="仿宋"/>
          <w:color w:val="auto"/>
          <w:sz w:val="24"/>
        </w:rPr>
        <w:t>谈判小组要求供应商澄清、说明或者更正响应文件应当以书面形式作出。供应商的澄清、说明或者更正应当由法定代表人</w:t>
      </w:r>
      <w:r>
        <w:rPr>
          <w:rFonts w:hint="eastAsia" w:ascii="仿宋" w:hAnsi="仿宋" w:eastAsia="仿宋" w:cs="仿宋"/>
          <w:color w:val="auto"/>
          <w:sz w:val="24"/>
          <w:lang w:eastAsia="zh-CN"/>
        </w:rPr>
        <w:t>（</w:t>
      </w:r>
      <w:r>
        <w:rPr>
          <w:rFonts w:hint="eastAsia" w:ascii="仿宋" w:hAnsi="仿宋" w:eastAsia="仿宋" w:cs="仿宋"/>
          <w:color w:val="auto"/>
          <w:sz w:val="24"/>
        </w:rPr>
        <w:t>主要负责人</w:t>
      </w:r>
      <w:r>
        <w:rPr>
          <w:rFonts w:hint="eastAsia" w:ascii="仿宋" w:hAnsi="仿宋" w:eastAsia="仿宋" w:cs="仿宋"/>
          <w:color w:val="auto"/>
          <w:sz w:val="24"/>
          <w:lang w:eastAsia="zh-CN"/>
        </w:rPr>
        <w:t>）</w:t>
      </w:r>
      <w:r>
        <w:rPr>
          <w:rFonts w:hint="eastAsia" w:ascii="仿宋" w:hAnsi="仿宋" w:eastAsia="仿宋" w:cs="仿宋"/>
          <w:color w:val="auto"/>
          <w:sz w:val="24"/>
        </w:rPr>
        <w:t>或其授权代表签字（</w:t>
      </w:r>
      <w:r>
        <w:rPr>
          <w:rFonts w:hint="eastAsia" w:ascii="仿宋" w:hAnsi="仿宋" w:eastAsia="仿宋" w:cs="仿宋"/>
          <w:b/>
          <w:bCs/>
          <w:color w:val="auto"/>
          <w:sz w:val="24"/>
        </w:rPr>
        <w:t>注：</w:t>
      </w:r>
      <w:r>
        <w:rPr>
          <w:rFonts w:hint="eastAsia" w:ascii="仿宋" w:hAnsi="仿宋" w:eastAsia="仿宋" w:cs="仿宋"/>
          <w:color w:val="auto"/>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16.</w:t>
      </w:r>
      <w:r>
        <w:rPr>
          <w:rFonts w:hint="eastAsia" w:ascii="仿宋" w:hAnsi="仿宋" w:eastAsia="仿宋" w:cs="仿宋"/>
          <w:bCs/>
          <w:color w:val="auto"/>
          <w:sz w:val="24"/>
        </w:rPr>
        <w:t>3评审委员会要求供应商澄清、说明或者更正，不得超出谈判竞争性谈判文件的范围，不得以此让供应商实质改变响应文件的内容，不得影响供应商公平竞争。本项目下列内容不得澄清：</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（1）应当在评审时不予承认的响应文件内容事项；</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（2）响应文件中已经明确的内容事项；</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（3）响应文件未提供的材料。</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16</w:t>
      </w:r>
      <w:r>
        <w:rPr>
          <w:rFonts w:hint="eastAsia" w:ascii="仿宋" w:hAnsi="仿宋" w:eastAsia="仿宋" w:cs="仿宋"/>
          <w:bCs/>
          <w:color w:val="auto"/>
          <w:sz w:val="24"/>
        </w:rPr>
        <w:t>.4本项目采购过程中，响应文件出现下列情况的，不需要供应商澄清、说明或者更正，按照以下原则处理：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（1）响应文件的大写金额和小写金额不一致的，以大写金额为准，但大写金额出现文字错误，导致金额无法判断的除外；</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（2）总价金额与按单价汇总金额不一致的，以单价汇总金额计算结果为准，但是单价金额出现计算错误、明显人为工作失误的除外；</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（3）单价金额小数点有明显错位的，应以总价为准，并修改单价；</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（4）对不同语言文本响应文件的解释发生异议的，以中文文本为准。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出现本条第（2）项规定情形，单价汇总金额比总价金额高，且超过采购预算或者本项目最高限价的，供应商响应文件应作为无效响应处理；单价汇总金额比总价金额高，但未超过采购预算或者本项目最高限价的，应以单价汇总金额作为价格评审依据。</w:t>
      </w:r>
    </w:p>
    <w:p>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注：评审委员会当积极履行澄清、说明或者更正的职责，不得滥用权力。供应商的响应文件可以要求澄清、说明或者更正的，不得未经澄清、说明或者更正而直接作无效响应处理。</w:t>
      </w:r>
    </w:p>
    <w:p>
      <w:pPr>
        <w:spacing w:line="360" w:lineRule="auto"/>
        <w:ind w:firstLine="482" w:firstLineChars="200"/>
        <w:rPr>
          <w:rFonts w:hint="eastAsia" w:ascii="仿宋" w:hAnsi="仿宋" w:eastAsia="仿宋" w:cs="仿宋"/>
          <w:b/>
          <w:bCs/>
          <w:color w:val="auto"/>
          <w:sz w:val="24"/>
          <w:lang w:val="en-US" w:eastAsia="zh-CN"/>
        </w:rPr>
      </w:pPr>
    </w:p>
    <w:p>
      <w:pPr>
        <w:spacing w:line="360" w:lineRule="auto"/>
        <w:ind w:firstLine="482" w:firstLineChars="200"/>
        <w:rPr>
          <w:rFonts w:hint="eastAsia" w:ascii="仿宋" w:hAnsi="仿宋" w:eastAsia="仿宋" w:cs="仿宋"/>
          <w:b/>
          <w:bCs/>
          <w:color w:val="auto"/>
          <w:sz w:val="24"/>
          <w:lang w:eastAsia="zh-CN"/>
        </w:rPr>
      </w:pPr>
      <w:r>
        <w:rPr>
          <w:rFonts w:hint="eastAsia" w:ascii="仿宋" w:hAnsi="仿宋" w:eastAsia="仿宋" w:cs="仿宋"/>
          <w:b/>
          <w:bCs/>
          <w:color w:val="auto"/>
          <w:sz w:val="24"/>
          <w:lang w:val="en-US" w:eastAsia="zh-CN"/>
        </w:rPr>
        <w:t>17.</w:t>
      </w:r>
      <w:r>
        <w:rPr>
          <w:rFonts w:hint="eastAsia" w:ascii="仿宋" w:hAnsi="仿宋" w:eastAsia="仿宋" w:cs="仿宋"/>
          <w:b/>
          <w:bCs/>
          <w:color w:val="auto"/>
          <w:sz w:val="24"/>
          <w:lang w:eastAsia="zh-CN"/>
        </w:rPr>
        <w:t>评审结束后的纠错处理办法</w:t>
      </w:r>
    </w:p>
    <w:p>
      <w:pPr>
        <w:spacing w:line="360" w:lineRule="auto"/>
        <w:ind w:firstLine="480" w:firstLineChars="200"/>
        <w:rPr>
          <w:rFonts w:hint="eastAsia" w:ascii="仿宋" w:hAnsi="仿宋" w:eastAsia="仿宋" w:cs="仿宋"/>
          <w:color w:val="auto"/>
          <w:sz w:val="24"/>
          <w:lang w:eastAsia="zh-CN"/>
        </w:rPr>
      </w:pPr>
      <w:r>
        <w:rPr>
          <w:rFonts w:hint="eastAsia" w:ascii="仿宋" w:hAnsi="仿宋" w:eastAsia="仿宋" w:cs="仿宋"/>
          <w:color w:val="auto"/>
          <w:sz w:val="24"/>
          <w:lang w:eastAsia="zh-CN"/>
        </w:rPr>
        <w:t>评审结束后，采购人或采购代理机构发现评审小组存在评审错误的、或具体评审错误将影响采购结果（或影响中标成交结果）的，有权直接纠正评审错误，也可以要求原评审委复评纠正其错误评审意见。纠正后的评审意见对本项目采购活动有关当事人具有约束力。</w:t>
      </w:r>
    </w:p>
    <w:p>
      <w:pPr>
        <w:pStyle w:val="12"/>
        <w:rPr>
          <w:rFonts w:hint="eastAsia"/>
          <w:lang w:val="en-US" w:eastAsia="zh-CN"/>
        </w:rPr>
      </w:pPr>
    </w:p>
    <w:p>
      <w:pPr>
        <w:pStyle w:val="12"/>
        <w:rPr>
          <w:rFonts w:hint="eastAsia"/>
          <w:lang w:val="en-US" w:eastAsia="zh-CN"/>
        </w:rPr>
      </w:pPr>
    </w:p>
    <w:p>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18.</w:t>
      </w:r>
      <w:r>
        <w:rPr>
          <w:rFonts w:hint="eastAsia" w:ascii="仿宋" w:hAnsi="仿宋" w:eastAsia="仿宋" w:cs="仿宋"/>
          <w:b/>
          <w:bCs/>
          <w:color w:val="auto"/>
          <w:sz w:val="24"/>
        </w:rPr>
        <w:t>终止谈判采购活动</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出现下列情形之一的，采购人或者采购代理机构应当终止竞争性谈判采购活动，发布项目终止公告并说明原因，重新开展采购活动：</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）因情况变化，不再符合规定的竞争性谈判采购方式适用情形的；</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）出现影响采购公正的违法、违规行为的；</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）在采购过程中符合要求的供应商或者最后报价未超过采购预算的供应商不足</w:t>
      </w:r>
      <w:r>
        <w:rPr>
          <w:rFonts w:ascii="仿宋" w:hAnsi="仿宋" w:eastAsia="仿宋" w:cs="仿宋"/>
          <w:color w:val="auto"/>
          <w:sz w:val="24"/>
        </w:rPr>
        <w:t>3</w:t>
      </w:r>
      <w:r>
        <w:rPr>
          <w:rFonts w:hint="eastAsia" w:ascii="仿宋" w:hAnsi="仿宋" w:eastAsia="仿宋" w:cs="仿宋"/>
          <w:color w:val="auto"/>
          <w:sz w:val="24"/>
        </w:rPr>
        <w:t>家的。</w:t>
      </w:r>
    </w:p>
    <w:p>
      <w:pPr>
        <w:spacing w:line="360" w:lineRule="auto"/>
        <w:ind w:firstLine="480" w:firstLineChars="200"/>
        <w:rPr>
          <w:rFonts w:hint="default" w:ascii="仿宋" w:hAnsi="仿宋" w:eastAsia="仿宋" w:cs="仿宋"/>
          <w:color w:val="auto"/>
          <w:sz w:val="24"/>
          <w:lang w:val="en-US" w:eastAsia="zh-CN"/>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4）采购人认为继续开展采购活动，将损害国家利益、集体利益或损害其他当事人合法权益的。</w:t>
      </w:r>
    </w:p>
    <w:p>
      <w:pPr>
        <w:tabs>
          <w:tab w:val="left" w:pos="851"/>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四、谈判纪律及注意事项</w:t>
      </w:r>
    </w:p>
    <w:p>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19.</w:t>
      </w:r>
      <w:r>
        <w:rPr>
          <w:rFonts w:hint="eastAsia" w:ascii="仿宋" w:hAnsi="仿宋" w:eastAsia="仿宋" w:cs="仿宋"/>
          <w:color w:val="auto"/>
          <w:sz w:val="24"/>
        </w:rPr>
        <w:t>谈判小组内部讨论的情况和意见必须保密，任何人不得以任何形式透露给供应商或与供应商有关的单位或个人。</w:t>
      </w:r>
    </w:p>
    <w:p>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20.</w:t>
      </w:r>
      <w:r>
        <w:rPr>
          <w:rFonts w:hint="eastAsia" w:ascii="仿宋" w:hAnsi="仿宋" w:eastAsia="仿宋" w:cs="仿宋"/>
          <w:color w:val="auto"/>
          <w:sz w:val="24"/>
        </w:rPr>
        <w:t>在谈判过程中，供应商不得以任何形式对谈判小组成员进行旨在影响谈判结果的私下接触，否则将取消其参与谈判的资格。</w:t>
      </w:r>
    </w:p>
    <w:p>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21.</w:t>
      </w:r>
      <w:r>
        <w:rPr>
          <w:rFonts w:hint="eastAsia" w:ascii="仿宋" w:hAnsi="仿宋" w:eastAsia="仿宋" w:cs="仿宋"/>
          <w:color w:val="auto"/>
          <w:sz w:val="24"/>
        </w:rPr>
        <w:t>对各供应商的商业秘密，谈判小组成员应予以保密，不得泄露给其他供应商。</w:t>
      </w:r>
    </w:p>
    <w:p>
      <w:pPr>
        <w:tabs>
          <w:tab w:val="left" w:pos="851"/>
        </w:tabs>
        <w:spacing w:line="360" w:lineRule="auto"/>
        <w:ind w:firstLine="480" w:firstLineChars="200"/>
        <w:rPr>
          <w:color w:val="auto"/>
        </w:rPr>
      </w:pPr>
      <w:r>
        <w:rPr>
          <w:rFonts w:hint="eastAsia" w:ascii="仿宋" w:hAnsi="仿宋" w:eastAsia="仿宋" w:cs="仿宋"/>
          <w:color w:val="auto"/>
          <w:sz w:val="24"/>
          <w:lang w:val="en-US" w:eastAsia="zh-CN"/>
        </w:rPr>
        <w:t>22.</w:t>
      </w:r>
      <w:r>
        <w:rPr>
          <w:rFonts w:hint="eastAsia" w:ascii="仿宋" w:hAnsi="仿宋" w:eastAsia="仿宋" w:cs="仿宋"/>
          <w:color w:val="auto"/>
          <w:sz w:val="24"/>
        </w:rPr>
        <w:t>谈判小组独立评判，推荐成交候选人，并写出书面报告。</w:t>
      </w:r>
    </w:p>
    <w:p>
      <w:pPr>
        <w:tabs>
          <w:tab w:val="left" w:pos="7665"/>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五、谈判小组在</w:t>
      </w:r>
      <w:r>
        <w:rPr>
          <w:rFonts w:hint="eastAsia" w:ascii="仿宋" w:hAnsi="仿宋" w:eastAsia="仿宋" w:cs="仿宋"/>
          <w:b/>
          <w:bCs/>
          <w:color w:val="auto"/>
          <w:sz w:val="30"/>
          <w:szCs w:val="30"/>
          <w:lang w:eastAsia="zh-CN"/>
        </w:rPr>
        <w:t>本次</w:t>
      </w:r>
      <w:r>
        <w:rPr>
          <w:rFonts w:hint="eastAsia" w:ascii="仿宋" w:hAnsi="仿宋" w:eastAsia="仿宋" w:cs="仿宋"/>
          <w:b/>
          <w:bCs/>
          <w:color w:val="auto"/>
          <w:sz w:val="30"/>
          <w:szCs w:val="30"/>
        </w:rPr>
        <w:t>采购活动中</w:t>
      </w:r>
      <w:r>
        <w:rPr>
          <w:rFonts w:hint="eastAsia" w:ascii="仿宋" w:hAnsi="仿宋" w:eastAsia="仿宋" w:cs="仿宋"/>
          <w:b/>
          <w:bCs/>
          <w:color w:val="auto"/>
          <w:sz w:val="30"/>
          <w:szCs w:val="30"/>
          <w:lang w:eastAsia="zh-CN"/>
        </w:rPr>
        <w:t>应当</w:t>
      </w:r>
      <w:r>
        <w:rPr>
          <w:rFonts w:hint="eastAsia" w:ascii="仿宋" w:hAnsi="仿宋" w:eastAsia="仿宋" w:cs="仿宋"/>
          <w:b/>
          <w:bCs/>
          <w:color w:val="auto"/>
          <w:sz w:val="30"/>
          <w:szCs w:val="30"/>
        </w:rPr>
        <w:t>承担</w:t>
      </w:r>
      <w:r>
        <w:rPr>
          <w:rFonts w:hint="eastAsia" w:ascii="仿宋" w:hAnsi="仿宋" w:eastAsia="仿宋" w:cs="仿宋"/>
          <w:b/>
          <w:bCs/>
          <w:color w:val="auto"/>
          <w:sz w:val="30"/>
          <w:szCs w:val="30"/>
          <w:lang w:eastAsia="zh-CN"/>
        </w:rPr>
        <w:t>的</w:t>
      </w:r>
      <w:r>
        <w:rPr>
          <w:rFonts w:hint="eastAsia" w:ascii="仿宋" w:hAnsi="仿宋" w:eastAsia="仿宋" w:cs="仿宋"/>
          <w:b/>
          <w:bCs/>
          <w:color w:val="auto"/>
          <w:sz w:val="30"/>
          <w:szCs w:val="30"/>
        </w:rPr>
        <w:t>义务</w:t>
      </w:r>
    </w:p>
    <w:p>
      <w:pPr>
        <w:spacing w:line="360" w:lineRule="auto"/>
        <w:ind w:firstLine="482" w:firstLineChars="200"/>
        <w:jc w:val="both"/>
        <w:rPr>
          <w:rFonts w:hint="eastAsia" w:ascii="仿宋" w:hAnsi="仿宋" w:eastAsia="仿宋" w:cs="仿宋"/>
          <w:b/>
          <w:bCs/>
          <w:color w:val="auto"/>
          <w:sz w:val="24"/>
          <w:lang w:eastAsia="zh-CN"/>
        </w:rPr>
      </w:pPr>
      <w:r>
        <w:rPr>
          <w:rFonts w:hint="eastAsia" w:ascii="仿宋" w:hAnsi="仿宋" w:eastAsia="仿宋" w:cs="仿宋"/>
          <w:b/>
          <w:bCs/>
          <w:color w:val="auto"/>
          <w:sz w:val="24"/>
          <w:lang w:val="en-US" w:eastAsia="zh-CN"/>
        </w:rPr>
        <w:t>23.</w:t>
      </w:r>
      <w:r>
        <w:rPr>
          <w:rFonts w:hint="eastAsia" w:ascii="仿宋" w:hAnsi="仿宋" w:eastAsia="仿宋" w:cs="仿宋"/>
          <w:b/>
          <w:bCs/>
          <w:color w:val="auto"/>
          <w:sz w:val="24"/>
          <w:lang w:eastAsia="zh-CN"/>
        </w:rPr>
        <w:t>谈判小组应当承担以下义务</w:t>
      </w:r>
    </w:p>
    <w:p>
      <w:pPr>
        <w:spacing w:line="360" w:lineRule="auto"/>
        <w:ind w:firstLine="480" w:firstLineChars="200"/>
        <w:rPr>
          <w:rFonts w:ascii="仿宋" w:hAnsi="仿宋" w:eastAsia="仿宋"/>
          <w:color w:val="auto"/>
          <w:sz w:val="24"/>
        </w:rPr>
      </w:pPr>
      <w:r>
        <w:rPr>
          <w:rFonts w:hint="eastAsia" w:ascii="仿宋" w:hAnsi="仿宋" w:eastAsia="仿宋" w:cs="仿宋"/>
          <w:color w:val="auto"/>
          <w:kern w:val="2"/>
          <w:sz w:val="24"/>
          <w:szCs w:val="24"/>
          <w:lang w:val="en-US" w:eastAsia="zh-CN" w:bidi="ar-SA"/>
        </w:rPr>
        <w:t>（1）</w:t>
      </w:r>
      <w:r>
        <w:rPr>
          <w:rFonts w:hint="eastAsia" w:ascii="仿宋" w:hAnsi="仿宋" w:eastAsia="仿宋" w:cs="仿宋"/>
          <w:color w:val="auto"/>
          <w:sz w:val="24"/>
        </w:rPr>
        <w:t>遵守评审工作纪律；</w:t>
      </w:r>
    </w:p>
    <w:p>
      <w:pPr>
        <w:pStyle w:val="112"/>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按照客观、公正、审慎的原则，根据谈判文件规定的评审程序、评审方法和评审标准进行独立评审；</w:t>
      </w:r>
    </w:p>
    <w:p>
      <w:pPr>
        <w:pStyle w:val="112"/>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（3）</w:t>
      </w:r>
      <w:r>
        <w:rPr>
          <w:rFonts w:hint="eastAsia" w:ascii="仿宋" w:hAnsi="仿宋" w:eastAsia="仿宋" w:cs="仿宋"/>
          <w:color w:val="auto"/>
          <w:sz w:val="24"/>
        </w:rPr>
        <w:t>不得泄露评审文件、评审情况和在评审过程中获悉的商业秘密；</w:t>
      </w:r>
    </w:p>
    <w:p>
      <w:pPr>
        <w:pStyle w:val="112"/>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及时向采购人、采购代理机构</w:t>
      </w:r>
      <w:r>
        <w:rPr>
          <w:rFonts w:hint="eastAsia" w:ascii="仿宋" w:hAnsi="仿宋" w:eastAsia="仿宋" w:cs="仿宋"/>
          <w:color w:val="auto"/>
          <w:sz w:val="24"/>
          <w:lang w:eastAsia="zh-CN"/>
        </w:rPr>
        <w:t>报告</w:t>
      </w:r>
      <w:r>
        <w:rPr>
          <w:rFonts w:hint="eastAsia" w:ascii="仿宋" w:hAnsi="仿宋" w:eastAsia="仿宋" w:cs="仿宋"/>
          <w:color w:val="auto"/>
          <w:sz w:val="24"/>
        </w:rPr>
        <w:t>供应商行贿、提供虚假材料或者串通等违法行为；</w:t>
      </w:r>
    </w:p>
    <w:p>
      <w:pPr>
        <w:pStyle w:val="112"/>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（5）</w:t>
      </w:r>
      <w:r>
        <w:rPr>
          <w:rFonts w:hint="eastAsia" w:ascii="仿宋" w:hAnsi="仿宋" w:eastAsia="仿宋" w:cs="仿宋"/>
          <w:color w:val="auto"/>
          <w:sz w:val="24"/>
        </w:rPr>
        <w:t>法律、法规和规章规定的其他义务。</w:t>
      </w:r>
    </w:p>
    <w:p>
      <w:pPr>
        <w:tabs>
          <w:tab w:val="left" w:pos="7665"/>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六、</w:t>
      </w:r>
      <w:r>
        <w:rPr>
          <w:rFonts w:hint="eastAsia" w:ascii="仿宋" w:hAnsi="仿宋" w:eastAsia="仿宋" w:cs="仿宋"/>
          <w:b/>
          <w:bCs/>
          <w:color w:val="auto"/>
          <w:sz w:val="30"/>
          <w:szCs w:val="30"/>
          <w:lang w:eastAsia="zh-CN"/>
        </w:rPr>
        <w:t>谈判小组</w:t>
      </w:r>
      <w:r>
        <w:rPr>
          <w:rFonts w:hint="eastAsia" w:ascii="仿宋" w:hAnsi="仿宋" w:eastAsia="仿宋" w:cs="仿宋"/>
          <w:b/>
          <w:bCs/>
          <w:color w:val="auto"/>
          <w:sz w:val="30"/>
          <w:szCs w:val="30"/>
        </w:rPr>
        <w:t>在</w:t>
      </w:r>
      <w:r>
        <w:rPr>
          <w:rFonts w:hint="eastAsia" w:ascii="仿宋" w:hAnsi="仿宋" w:eastAsia="仿宋" w:cs="仿宋"/>
          <w:b/>
          <w:bCs/>
          <w:color w:val="auto"/>
          <w:sz w:val="30"/>
          <w:szCs w:val="30"/>
          <w:lang w:eastAsia="zh-CN"/>
        </w:rPr>
        <w:t>本次采</w:t>
      </w:r>
      <w:r>
        <w:rPr>
          <w:rFonts w:hint="eastAsia" w:ascii="仿宋" w:hAnsi="仿宋" w:eastAsia="仿宋" w:cs="仿宋"/>
          <w:b/>
          <w:bCs/>
          <w:color w:val="auto"/>
          <w:sz w:val="30"/>
          <w:szCs w:val="30"/>
        </w:rPr>
        <w:t>购活动中应当遵守</w:t>
      </w:r>
      <w:r>
        <w:rPr>
          <w:rFonts w:hint="eastAsia" w:ascii="仿宋" w:hAnsi="仿宋" w:eastAsia="仿宋" w:cs="仿宋"/>
          <w:b/>
          <w:bCs/>
          <w:color w:val="auto"/>
          <w:sz w:val="30"/>
          <w:szCs w:val="30"/>
          <w:lang w:eastAsia="zh-CN"/>
        </w:rPr>
        <w:t>的</w:t>
      </w:r>
      <w:r>
        <w:rPr>
          <w:rFonts w:hint="eastAsia" w:ascii="仿宋" w:hAnsi="仿宋" w:eastAsia="仿宋" w:cs="仿宋"/>
          <w:b/>
          <w:bCs/>
          <w:color w:val="auto"/>
          <w:sz w:val="30"/>
          <w:szCs w:val="30"/>
        </w:rPr>
        <w:t>工作纪律</w:t>
      </w:r>
    </w:p>
    <w:p>
      <w:pPr>
        <w:spacing w:line="360" w:lineRule="auto"/>
        <w:ind w:firstLine="482" w:firstLineChars="200"/>
        <w:jc w:val="both"/>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24.谈判小组在本次采购活动中应当遵守以下工作纪律</w:t>
      </w:r>
    </w:p>
    <w:p>
      <w:pPr>
        <w:pStyle w:val="112"/>
        <w:tabs>
          <w:tab w:val="left" w:pos="7665"/>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（1）不</w:t>
      </w:r>
      <w:r>
        <w:rPr>
          <w:rFonts w:hint="eastAsia" w:ascii="仿宋" w:hAnsi="仿宋" w:eastAsia="仿宋" w:cs="仿宋"/>
          <w:color w:val="auto"/>
          <w:sz w:val="24"/>
        </w:rPr>
        <w:t>得参加与自己有利害关系的采购项目的评审活动。发现参加了与自己有利害关系的评审活动，须主动提出回避，退出评审；</w:t>
      </w:r>
    </w:p>
    <w:p>
      <w:pPr>
        <w:pStyle w:val="112"/>
        <w:tabs>
          <w:tab w:val="left" w:pos="7665"/>
        </w:tabs>
        <w:spacing w:line="360" w:lineRule="auto"/>
        <w:ind w:left="0" w:firstLine="480" w:firstLineChars="20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2</w:t>
      </w:r>
      <w:r>
        <w:rPr>
          <w:rFonts w:hint="eastAsia" w:ascii="仿宋" w:hAnsi="仿宋" w:eastAsia="仿宋" w:cs="仿宋"/>
          <w:color w:val="auto"/>
          <w:sz w:val="24"/>
          <w:lang w:eastAsia="zh-CN"/>
        </w:rPr>
        <w:t>）</w:t>
      </w:r>
      <w:r>
        <w:rPr>
          <w:rFonts w:hint="eastAsia" w:ascii="仿宋" w:hAnsi="仿宋" w:eastAsia="仿宋" w:cs="仿宋"/>
          <w:color w:val="auto"/>
          <w:sz w:val="24"/>
        </w:rPr>
        <w:t>评审前，应当将通讯工具或者相关电子设备交由采购代理机构统一保</w:t>
      </w:r>
    </w:p>
    <w:p>
      <w:pPr>
        <w:pStyle w:val="112"/>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管；</w:t>
      </w:r>
    </w:p>
    <w:p>
      <w:pPr>
        <w:pStyle w:val="112"/>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3</w:t>
      </w:r>
      <w:r>
        <w:rPr>
          <w:rFonts w:hint="eastAsia" w:ascii="仿宋" w:hAnsi="仿宋" w:eastAsia="仿宋" w:cs="仿宋"/>
          <w:color w:val="auto"/>
          <w:sz w:val="24"/>
          <w:lang w:eastAsia="zh-CN"/>
        </w:rPr>
        <w:t>）</w:t>
      </w:r>
      <w:r>
        <w:rPr>
          <w:rFonts w:hint="eastAsia" w:ascii="仿宋" w:hAnsi="仿宋" w:eastAsia="仿宋" w:cs="仿宋"/>
          <w:color w:val="auto"/>
          <w:sz w:val="24"/>
        </w:rPr>
        <w:t>评审过程中，不得与外界联系，因发生不可预见情况，确实需要与外</w:t>
      </w:r>
    </w:p>
    <w:p>
      <w:pPr>
        <w:pStyle w:val="112"/>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界联系的，应当在监督人员监督之下办理；</w:t>
      </w:r>
    </w:p>
    <w:p>
      <w:pPr>
        <w:pStyle w:val="112"/>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4</w:t>
      </w:r>
      <w:r>
        <w:rPr>
          <w:rFonts w:hint="eastAsia" w:ascii="仿宋" w:hAnsi="仿宋" w:eastAsia="仿宋" w:cs="仿宋"/>
          <w:color w:val="auto"/>
          <w:sz w:val="24"/>
          <w:lang w:eastAsia="zh-CN"/>
        </w:rPr>
        <w:t>）</w:t>
      </w:r>
      <w:r>
        <w:rPr>
          <w:rFonts w:hint="eastAsia" w:ascii="仿宋" w:hAnsi="仿宋" w:eastAsia="仿宋" w:cs="仿宋"/>
          <w:color w:val="auto"/>
          <w:sz w:val="24"/>
        </w:rPr>
        <w:t>评审过程中，不得发表影响评审公正的倾向性、歧视性言论，不得征</w:t>
      </w:r>
    </w:p>
    <w:p>
      <w:pPr>
        <w:pStyle w:val="112"/>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pPr>
        <w:pStyle w:val="112"/>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5</w:t>
      </w:r>
      <w:r>
        <w:rPr>
          <w:rFonts w:hint="eastAsia" w:ascii="仿宋" w:hAnsi="仿宋" w:eastAsia="仿宋" w:cs="仿宋"/>
          <w:color w:val="auto"/>
          <w:sz w:val="24"/>
          <w:lang w:eastAsia="zh-CN"/>
        </w:rPr>
        <w:t>）</w:t>
      </w:r>
      <w:r>
        <w:rPr>
          <w:rFonts w:hint="eastAsia" w:ascii="仿宋" w:hAnsi="仿宋" w:eastAsia="仿宋" w:cs="仿宋"/>
          <w:color w:val="auto"/>
          <w:sz w:val="24"/>
        </w:rPr>
        <w:t>在评审过程中和评审结束后，不得记录、复制或带走任何评审资料，</w:t>
      </w:r>
    </w:p>
    <w:p>
      <w:pPr>
        <w:pStyle w:val="112"/>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不得向外界透露评审内容；</w:t>
      </w:r>
    </w:p>
    <w:p>
      <w:pPr>
        <w:pStyle w:val="112"/>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6</w:t>
      </w:r>
      <w:r>
        <w:rPr>
          <w:rFonts w:hint="eastAsia" w:ascii="仿宋" w:hAnsi="仿宋" w:eastAsia="仿宋" w:cs="仿宋"/>
          <w:color w:val="auto"/>
          <w:sz w:val="24"/>
          <w:lang w:eastAsia="zh-CN"/>
        </w:rPr>
        <w:t>）</w:t>
      </w:r>
      <w:r>
        <w:rPr>
          <w:rFonts w:hint="eastAsia" w:ascii="仿宋" w:hAnsi="仿宋" w:eastAsia="仿宋" w:cs="仿宋"/>
          <w:color w:val="auto"/>
          <w:sz w:val="24"/>
        </w:rPr>
        <w:t>评审现场服从采购代理机构工作人员的管理，接受现场监督人员的合</w:t>
      </w:r>
    </w:p>
    <w:p>
      <w:pPr>
        <w:pStyle w:val="112"/>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法监督；</w:t>
      </w:r>
    </w:p>
    <w:p>
      <w:pPr>
        <w:pStyle w:val="112"/>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7</w:t>
      </w:r>
      <w:r>
        <w:rPr>
          <w:rFonts w:hint="eastAsia" w:ascii="仿宋" w:hAnsi="仿宋" w:eastAsia="仿宋" w:cs="仿宋"/>
          <w:color w:val="auto"/>
          <w:sz w:val="24"/>
          <w:lang w:eastAsia="zh-CN"/>
        </w:rPr>
        <w:t>）</w:t>
      </w:r>
      <w:r>
        <w:rPr>
          <w:rFonts w:hint="eastAsia" w:ascii="仿宋" w:hAnsi="仿宋" w:eastAsia="仿宋" w:cs="仿宋"/>
          <w:color w:val="auto"/>
          <w:sz w:val="24"/>
        </w:rPr>
        <w:t>遵守有关廉洁自律规定，不得私下接触供应商，不得收受供应商及有</w:t>
      </w:r>
    </w:p>
    <w:p>
      <w:pPr>
        <w:pStyle w:val="112"/>
        <w:tabs>
          <w:tab w:val="left" w:pos="7665"/>
        </w:tabs>
        <w:spacing w:line="360" w:lineRule="auto"/>
        <w:ind w:firstLine="0" w:firstLineChars="0"/>
        <w:rPr>
          <w:rFonts w:hint="eastAsia" w:ascii="仿宋" w:hAnsi="仿宋" w:eastAsia="仿宋" w:cs="仿宋"/>
          <w:color w:val="auto"/>
          <w:sz w:val="24"/>
          <w:lang w:eastAsia="zh-CN"/>
        </w:rPr>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仿宋" w:hAnsi="仿宋" w:eastAsia="仿宋" w:cs="仿宋"/>
          <w:color w:val="auto"/>
          <w:sz w:val="24"/>
        </w:rPr>
        <w:t>关业务单位和个人的财物或好处，不得接受采购代理机构的请托</w:t>
      </w:r>
      <w:bookmarkStart w:id="129" w:name="_Toc31949"/>
      <w:bookmarkStart w:id="130" w:name="_Toc2688"/>
      <w:bookmarkStart w:id="131" w:name="_Toc4895"/>
      <w:bookmarkStart w:id="132" w:name="_Toc3219"/>
      <w:bookmarkStart w:id="133" w:name="_Toc19182"/>
      <w:bookmarkStart w:id="134" w:name="_Toc27128"/>
      <w:r>
        <w:rPr>
          <w:rFonts w:hint="eastAsia" w:ascii="仿宋" w:hAnsi="仿宋" w:eastAsia="仿宋" w:cs="仿宋"/>
          <w:color w:val="auto"/>
          <w:sz w:val="24"/>
          <w:lang w:eastAsia="zh-CN"/>
        </w:rPr>
        <w:t>。</w:t>
      </w:r>
    </w:p>
    <w:p>
      <w:pPr>
        <w:pStyle w:val="112"/>
        <w:keepNext w:val="0"/>
        <w:keepLines w:val="0"/>
        <w:pageBreakBefore w:val="0"/>
        <w:widowControl w:val="0"/>
        <w:tabs>
          <w:tab w:val="left" w:pos="7665"/>
        </w:tabs>
        <w:kinsoku/>
        <w:wordWrap/>
        <w:overflowPunct/>
        <w:topLinePunct w:val="0"/>
        <w:autoSpaceDE/>
        <w:autoSpaceDN/>
        <w:bidi w:val="0"/>
        <w:adjustRightInd/>
        <w:snapToGrid/>
        <w:spacing w:line="360" w:lineRule="auto"/>
        <w:ind w:firstLine="0" w:firstLineChars="0"/>
        <w:jc w:val="center"/>
        <w:textAlignment w:val="auto"/>
        <w:outlineLvl w:val="0"/>
        <w:rPr>
          <w:rFonts w:ascii="仿宋" w:hAnsi="仿宋" w:eastAsia="仿宋" w:cs="仿宋"/>
          <w:color w:val="auto"/>
          <w:sz w:val="36"/>
          <w:szCs w:val="36"/>
        </w:rPr>
      </w:pPr>
      <w:r>
        <w:rPr>
          <w:rStyle w:val="73"/>
          <w:rFonts w:hint="eastAsia" w:ascii="仿宋" w:hAnsi="仿宋" w:eastAsia="仿宋" w:cs="仿宋"/>
          <w:color w:val="auto"/>
          <w:sz w:val="36"/>
          <w:szCs w:val="36"/>
        </w:rPr>
        <w:t>第九章 采购合同（样例</w:t>
      </w:r>
      <w:bookmarkEnd w:id="129"/>
      <w:r>
        <w:rPr>
          <w:rFonts w:hint="eastAsia" w:ascii="仿宋" w:hAnsi="仿宋" w:eastAsia="仿宋" w:cs="仿宋"/>
          <w:color w:val="auto"/>
          <w:sz w:val="36"/>
          <w:szCs w:val="36"/>
        </w:rPr>
        <w:t>）</w:t>
      </w:r>
      <w:bookmarkEnd w:id="130"/>
      <w:bookmarkEnd w:id="131"/>
      <w:bookmarkEnd w:id="132"/>
      <w:bookmarkEnd w:id="133"/>
      <w:bookmarkEnd w:id="134"/>
      <w:bookmarkStart w:id="135" w:name="_Hlt101846155"/>
      <w:bookmarkEnd w:id="135"/>
    </w:p>
    <w:p>
      <w:pPr>
        <w:spacing w:line="360" w:lineRule="auto"/>
        <w:ind w:firstLine="0" w:firstLineChars="0"/>
        <w:rPr>
          <w:rFonts w:hint="eastAsia" w:ascii="仿宋" w:hAnsi="仿宋" w:eastAsia="仿宋"/>
          <w:b/>
          <w:color w:val="000000" w:themeColor="text1"/>
          <w:sz w:val="24"/>
          <w14:textFill>
            <w14:solidFill>
              <w14:schemeClr w14:val="tx1"/>
            </w14:solidFill>
          </w14:textFill>
        </w:rPr>
      </w:pPr>
      <w:bookmarkStart w:id="136" w:name="_Toc11954"/>
      <w:bookmarkStart w:id="137" w:name="_Toc18227"/>
      <w:bookmarkStart w:id="138" w:name="_Toc28018"/>
      <w:bookmarkStart w:id="139" w:name="_Toc20043"/>
    </w:p>
    <w:p>
      <w:pPr>
        <w:spacing w:line="360" w:lineRule="auto"/>
        <w:ind w:firstLine="482" w:firstLineChars="200"/>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本合同仅供参考，主要内容可根据实际情况自行拟定，但采购文件要约及响应文件承诺的实质性内容不得有任何负偏离。</w:t>
      </w:r>
    </w:p>
    <w:p>
      <w:pPr>
        <w:spacing w:line="360" w:lineRule="auto"/>
        <w:ind w:firstLine="480" w:firstLineChars="200"/>
        <w:rPr>
          <w:rFonts w:ascii="仿宋" w:eastAsia="仿宋" w:cs="仿宋"/>
          <w:color w:val="000000" w:themeColor="text1"/>
          <w:sz w:val="24"/>
          <w14:textFill>
            <w14:solidFill>
              <w14:schemeClr w14:val="tx1"/>
            </w14:solidFill>
          </w14:textFill>
        </w:rPr>
      </w:pPr>
      <w:r>
        <w:rPr>
          <w:rFonts w:hint="eastAsia" w:ascii="仿宋" w:eastAsia="仿宋" w:cs="仿宋"/>
          <w:color w:val="000000" w:themeColor="text1"/>
          <w:sz w:val="24"/>
          <w14:textFill>
            <w14:solidFill>
              <w14:schemeClr w14:val="tx1"/>
            </w14:solidFill>
          </w14:textFill>
        </w:rPr>
        <w:t>合同编号：</w:t>
      </w:r>
      <w:r>
        <w:rPr>
          <w:rFonts w:hint="eastAsia" w:ascii="仿宋" w:hAnsi="仿宋" w:eastAsia="仿宋" w:cs="仿宋"/>
          <w:color w:val="auto"/>
          <w:sz w:val="24"/>
        </w:rPr>
        <w:t>JRZB-202</w:t>
      </w:r>
      <w:r>
        <w:rPr>
          <w:rFonts w:hint="eastAsia" w:ascii="仿宋" w:hAnsi="仿宋" w:eastAsia="仿宋" w:cs="仿宋"/>
          <w:color w:val="auto"/>
          <w:sz w:val="24"/>
          <w:lang w:val="en-US" w:eastAsia="zh-CN"/>
        </w:rPr>
        <w:t>4</w:t>
      </w:r>
      <w:r>
        <w:rPr>
          <w:rFonts w:hint="eastAsia" w:ascii="仿宋" w:hAnsi="仿宋" w:eastAsia="仿宋" w:cs="仿宋"/>
          <w:color w:val="auto"/>
          <w:sz w:val="24"/>
        </w:rPr>
        <w:t>-HT</w:t>
      </w:r>
      <w:r>
        <w:rPr>
          <w:rFonts w:hint="eastAsia" w:ascii="仿宋" w:hAnsi="仿宋" w:eastAsia="仿宋" w:cs="仿宋"/>
          <w:color w:val="auto"/>
          <w:sz w:val="24"/>
          <w:u w:val="single"/>
        </w:rPr>
        <w:t xml:space="preserve">   </w:t>
      </w:r>
      <w:r>
        <w:rPr>
          <w:rFonts w:hint="eastAsia" w:ascii="仿宋" w:hAnsi="仿宋" w:eastAsia="仿宋" w:cs="仿宋"/>
          <w:color w:val="auto"/>
          <w:sz w:val="24"/>
        </w:rPr>
        <w:t>号</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签订地点：</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签订时间：</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采购人（甲方）：</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供应商（乙方）：</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根据《中华人民共和国民法典》及（项目名称：</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）（项目编号：</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）的《</w:t>
      </w:r>
      <w:r>
        <w:rPr>
          <w:rFonts w:hint="eastAsia" w:ascii="仿宋" w:hAnsi="仿宋" w:eastAsia="仿宋"/>
          <w:bCs/>
          <w:color w:val="000000" w:themeColor="text1"/>
          <w:sz w:val="24"/>
          <w:highlight w:val="none"/>
          <w:lang w:eastAsia="zh-CN"/>
          <w14:textFill>
            <w14:solidFill>
              <w14:schemeClr w14:val="tx1"/>
            </w14:solidFill>
          </w14:textFill>
        </w:rPr>
        <w:t>采购</w:t>
      </w:r>
      <w:r>
        <w:rPr>
          <w:rFonts w:hint="eastAsia" w:ascii="仿宋" w:hAnsi="仿宋" w:eastAsia="仿宋"/>
          <w:bCs/>
          <w:color w:val="000000" w:themeColor="text1"/>
          <w:sz w:val="24"/>
          <w:highlight w:val="none"/>
          <w14:textFill>
            <w14:solidFill>
              <w14:schemeClr w14:val="tx1"/>
            </w14:solidFill>
          </w14:textFill>
        </w:rPr>
        <w:t>文件》、乙方的《响应文件》及《成交通知书》，甲、乙双方同意签订本合同。详细技术说明及其他有关合同项目的特定信息由合同附件予以说明，合同附件及本项目的</w:t>
      </w:r>
      <w:r>
        <w:rPr>
          <w:rFonts w:hint="eastAsia" w:ascii="仿宋" w:hAnsi="仿宋" w:eastAsia="仿宋"/>
          <w:bCs/>
          <w:color w:val="000000" w:themeColor="text1"/>
          <w:sz w:val="24"/>
          <w:highlight w:val="none"/>
          <w:lang w:eastAsia="zh-CN"/>
          <w14:textFill>
            <w14:solidFill>
              <w14:schemeClr w14:val="tx1"/>
            </w14:solidFill>
          </w14:textFill>
        </w:rPr>
        <w:t>《采购文件》</w:t>
      </w:r>
      <w:r>
        <w:rPr>
          <w:rFonts w:hint="eastAsia" w:ascii="仿宋" w:hAnsi="仿宋" w:eastAsia="仿宋"/>
          <w:bCs/>
          <w:color w:val="000000" w:themeColor="text1"/>
          <w:sz w:val="24"/>
          <w:highlight w:val="none"/>
          <w14:textFill>
            <w14:solidFill>
              <w14:schemeClr w14:val="tx1"/>
            </w14:solidFill>
          </w14:textFill>
        </w:rPr>
        <w:t>、</w:t>
      </w:r>
      <w:r>
        <w:rPr>
          <w:rFonts w:hint="eastAsia" w:ascii="仿宋" w:hAnsi="仿宋" w:eastAsia="仿宋"/>
          <w:bCs/>
          <w:color w:val="000000" w:themeColor="text1"/>
          <w:sz w:val="24"/>
          <w:highlight w:val="none"/>
          <w:lang w:eastAsia="zh-CN"/>
          <w14:textFill>
            <w14:solidFill>
              <w14:schemeClr w14:val="tx1"/>
            </w14:solidFill>
          </w14:textFill>
        </w:rPr>
        <w:t>《</w:t>
      </w:r>
      <w:r>
        <w:rPr>
          <w:rFonts w:hint="eastAsia" w:ascii="仿宋" w:hAnsi="仿宋" w:eastAsia="仿宋"/>
          <w:bCs/>
          <w:color w:val="000000" w:themeColor="text1"/>
          <w:sz w:val="24"/>
          <w:highlight w:val="none"/>
          <w14:textFill>
            <w14:solidFill>
              <w14:schemeClr w14:val="tx1"/>
            </w14:solidFill>
          </w14:textFill>
        </w:rPr>
        <w:t>响应文件</w:t>
      </w:r>
      <w:r>
        <w:rPr>
          <w:rFonts w:hint="eastAsia" w:ascii="仿宋" w:hAnsi="仿宋" w:eastAsia="仿宋"/>
          <w:bCs/>
          <w:color w:val="000000" w:themeColor="text1"/>
          <w:sz w:val="24"/>
          <w:highlight w:val="none"/>
          <w:lang w:eastAsia="zh-CN"/>
          <w14:textFill>
            <w14:solidFill>
              <w14:schemeClr w14:val="tx1"/>
            </w14:solidFill>
          </w14:textFill>
        </w:rPr>
        <w:t>》</w:t>
      </w:r>
      <w:r>
        <w:rPr>
          <w:rFonts w:hint="eastAsia" w:ascii="仿宋" w:hAnsi="仿宋" w:eastAsia="仿宋"/>
          <w:bCs/>
          <w:color w:val="000000" w:themeColor="text1"/>
          <w:sz w:val="24"/>
          <w:highlight w:val="none"/>
          <w14:textFill>
            <w14:solidFill>
              <w14:schemeClr w14:val="tx1"/>
            </w14:solidFill>
          </w14:textFill>
        </w:rPr>
        <w:t>、《成交通知书》等均为本合同不可分割的部分。双方同意共同遵守如下条款：</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40" w:name="_Toc18566"/>
      <w:bookmarkStart w:id="141" w:name="_Toc19971"/>
      <w:bookmarkStart w:id="142" w:name="_Toc28778_WPSOffice_Level2"/>
      <w:bookmarkStart w:id="143" w:name="_Toc22401"/>
      <w:bookmarkStart w:id="144" w:name="_Toc24568"/>
      <w:bookmarkStart w:id="145" w:name="_Toc13862_WPSOffice_Level2"/>
      <w:bookmarkStart w:id="146" w:name="_Toc5735"/>
      <w:r>
        <w:rPr>
          <w:rFonts w:hint="eastAsia" w:ascii="仿宋" w:hAnsi="仿宋" w:eastAsia="仿宋"/>
          <w:bCs/>
          <w:color w:val="000000" w:themeColor="text1"/>
          <w:sz w:val="24"/>
          <w:highlight w:val="none"/>
          <w14:textFill>
            <w14:solidFill>
              <w14:schemeClr w14:val="tx1"/>
            </w14:solidFill>
          </w14:textFill>
        </w:rPr>
        <w:t>一、合同货物</w:t>
      </w:r>
      <w:bookmarkEnd w:id="140"/>
      <w:bookmarkEnd w:id="141"/>
      <w:bookmarkEnd w:id="142"/>
      <w:bookmarkEnd w:id="143"/>
      <w:bookmarkEnd w:id="144"/>
      <w:bookmarkEnd w:id="145"/>
      <w:bookmarkEnd w:id="146"/>
    </w:p>
    <w:tbl>
      <w:tblPr>
        <w:tblStyle w:val="2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75"/>
        <w:gridCol w:w="1050"/>
        <w:gridCol w:w="720"/>
        <w:gridCol w:w="900"/>
        <w:gridCol w:w="1080"/>
        <w:gridCol w:w="1185"/>
        <w:gridCol w:w="1260"/>
        <w:gridCol w:w="12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1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货物品名</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型号</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单位</w:t>
            </w:r>
          </w:p>
        </w:tc>
        <w:tc>
          <w:tcPr>
            <w:tcW w:w="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数量</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单价</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（元）</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总价</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（元）</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随机</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配件</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交货期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15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5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r>
    </w:tbl>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47" w:name="_Toc28220"/>
      <w:bookmarkStart w:id="148" w:name="_Toc19879"/>
      <w:bookmarkStart w:id="149" w:name="_Toc23002"/>
      <w:bookmarkStart w:id="150" w:name="_Toc15515"/>
      <w:bookmarkStart w:id="151" w:name="_Toc13846_WPSOffice_Level2"/>
      <w:bookmarkStart w:id="152" w:name="_Toc24373"/>
      <w:bookmarkStart w:id="153" w:name="_Toc14596_WPSOffice_Level2"/>
      <w:r>
        <w:rPr>
          <w:rFonts w:hint="eastAsia" w:ascii="仿宋" w:hAnsi="仿宋" w:eastAsia="仿宋"/>
          <w:bCs/>
          <w:color w:val="000000" w:themeColor="text1"/>
          <w:sz w:val="24"/>
          <w:highlight w:val="none"/>
          <w14:textFill>
            <w14:solidFill>
              <w14:schemeClr w14:val="tx1"/>
            </w14:solidFill>
          </w14:textFill>
        </w:rPr>
        <w:t>二、合同总价</w:t>
      </w:r>
      <w:bookmarkEnd w:id="147"/>
      <w:bookmarkEnd w:id="148"/>
      <w:bookmarkEnd w:id="149"/>
      <w:bookmarkEnd w:id="150"/>
      <w:bookmarkEnd w:id="151"/>
      <w:bookmarkEnd w:id="152"/>
      <w:bookmarkEnd w:id="153"/>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合同总价为人民币大写：</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元，即￥</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54" w:name="_Toc11500_WPSOffice_Level2"/>
      <w:bookmarkStart w:id="155" w:name="_Toc7072_WPSOffice_Level2"/>
      <w:bookmarkStart w:id="156" w:name="_Toc28116"/>
      <w:bookmarkStart w:id="157" w:name="_Toc3245"/>
      <w:bookmarkStart w:id="158" w:name="_Toc15577"/>
      <w:bookmarkStart w:id="159" w:name="_Toc27619"/>
      <w:bookmarkStart w:id="160" w:name="_Toc10473"/>
      <w:bookmarkStart w:id="161" w:name="_Toc2642"/>
      <w:bookmarkStart w:id="162" w:name="_Toc21909"/>
      <w:bookmarkStart w:id="163" w:name="_Toc20225_WPSOffice_Level2"/>
      <w:bookmarkStart w:id="164" w:name="_Toc26534_WPSOffice_Level2"/>
      <w:bookmarkStart w:id="165" w:name="_Toc7987"/>
      <w:r>
        <w:rPr>
          <w:rFonts w:hint="eastAsia" w:ascii="仿宋" w:hAnsi="仿宋" w:eastAsia="仿宋"/>
          <w:bCs/>
          <w:color w:val="000000" w:themeColor="text1"/>
          <w:sz w:val="24"/>
          <w:highlight w:val="none"/>
          <w14:textFill>
            <w14:solidFill>
              <w14:schemeClr w14:val="tx1"/>
            </w14:solidFill>
          </w14:textFill>
        </w:rPr>
        <w:t>三、质量要求</w:t>
      </w:r>
      <w:bookmarkEnd w:id="154"/>
      <w:bookmarkEnd w:id="155"/>
      <w:bookmarkEnd w:id="156"/>
      <w:bookmarkEnd w:id="157"/>
      <w:bookmarkEnd w:id="158"/>
      <w:bookmarkEnd w:id="159"/>
      <w:bookmarkEnd w:id="160"/>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1、乙方须提供全新的货物（含零部件、配件等），表面无划伤、无碰撞痕迹，且权属清楚，不得侵害他人的知识产权。</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2、货物必须符合或优于国家（行业）</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标准，以及本项目采购文件的质量要求和技术指标与出厂标准。</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3、乙方须在本合同签订之日起</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日内送交货物成品样品给甲方确认，在甲方出具样品确认书并封存成品样品外观尺寸后，乙方才能按样生产，并以此样品作为验收样品；每台货物上均应有产品质量检验合格标志。</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4、货物制造质量出现问题，乙方应负责三包（包修、包换、包退），费用由乙方负担，甲方有权到乙方生产场地检查货物质量和生产进度。</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5、货到现场后由于甲方保管不当造成的质量问题，乙方亦应负责修理，但费用由甲方负担。</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66" w:name="_Toc11257"/>
      <w:bookmarkStart w:id="167" w:name="_Toc22055"/>
      <w:r>
        <w:rPr>
          <w:rFonts w:hint="eastAsia" w:ascii="仿宋" w:hAnsi="仿宋" w:eastAsia="仿宋"/>
          <w:bCs/>
          <w:color w:val="000000" w:themeColor="text1"/>
          <w:sz w:val="24"/>
          <w:highlight w:val="none"/>
          <w14:textFill>
            <w14:solidFill>
              <w14:schemeClr w14:val="tx1"/>
            </w14:solidFill>
          </w14:textFill>
        </w:rPr>
        <w:t>四、交货及验收</w:t>
      </w:r>
      <w:bookmarkEnd w:id="161"/>
      <w:bookmarkEnd w:id="162"/>
      <w:bookmarkEnd w:id="163"/>
      <w:bookmarkEnd w:id="164"/>
      <w:bookmarkEnd w:id="165"/>
      <w:bookmarkEnd w:id="166"/>
      <w:bookmarkEnd w:id="167"/>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1、乙方交货期限为合同签订生效后的</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日内，在合同签订生效之日起</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天内交货到甲方指定地点，随即在</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日内全部完成安装调试验收合格交付使用，并且最迟应在</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年</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月</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日前全部完成安装调试验收合格交付使用(如由于采购人的原因造成合同延迟签订或验收的，时间顺延)。交货验收时须提供产品质检部门从同类产品中抽样检查合格的检测报告。</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2、验收由</w:t>
      </w:r>
      <w:r>
        <w:rPr>
          <w:rFonts w:hint="eastAsia" w:ascii="仿宋" w:hAnsi="仿宋" w:eastAsia="仿宋"/>
          <w:bCs/>
          <w:color w:val="000000" w:themeColor="text1"/>
          <w:sz w:val="24"/>
          <w:highlight w:val="none"/>
          <w:lang w:eastAsia="zh-CN"/>
          <w14:textFill>
            <w14:solidFill>
              <w14:schemeClr w14:val="tx1"/>
            </w14:solidFill>
          </w14:textFill>
        </w:rPr>
        <w:t>甲方</w:t>
      </w:r>
      <w:r>
        <w:rPr>
          <w:rFonts w:hint="eastAsia" w:ascii="仿宋" w:hAnsi="仿宋" w:eastAsia="仿宋"/>
          <w:bCs/>
          <w:color w:val="000000" w:themeColor="text1"/>
          <w:sz w:val="24"/>
          <w:highlight w:val="none"/>
          <w14:textFill>
            <w14:solidFill>
              <w14:schemeClr w14:val="tx1"/>
            </w14:solidFill>
          </w14:textFill>
        </w:rPr>
        <w:t>组织，乙方配合进行：</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 货物在乙方通知安装调试完毕后</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日内初步验收。初步验收合格后，进入</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试用期；试用期间发生重大质量问题，修复后试用相应顺延；试用期结束后</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日内完成最终验收；</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 验收标准：按国家有关规定以及甲方采购文件的质量要求和技术指标、乙方的响应文件及承诺与本合同约定标准进行验收；甲乙双方如对质量要求和技术指标的约定标准有相互抵触或异议的事项，由甲方在采购文件与响应文件中按质量要求和技术指标比较优胜的原则确定该项的约定标准进行验收；</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(4) 如质量验收合格，双方签署质量验收报告。</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3、货物安装完成后</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日内，甲方无故不进行验收工作并已使用货物的，视同已安装调试完成并验收合格。</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4、乙方应将所提供货物的装箱清单、配件、随机工具、用户使用手册、原厂保修卡等资料交付给甲方；乙方不能完整交付货物及本款规定的单证和工具的，必须负责补齐，否则视为未按合同约定交货。</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5、如货物经乙方</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次维修仍不能达到合同约定的质量标准，甲方有权退货，并视作乙方不能交付货物而须支付违约赔偿金给甲方，甲方还可依法追究乙方的违约责任。 </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68" w:name="_Toc16167"/>
      <w:bookmarkStart w:id="169" w:name="_Toc4150_WPSOffice_Level2"/>
      <w:bookmarkStart w:id="170" w:name="_Toc26995"/>
      <w:bookmarkStart w:id="171" w:name="_Toc13153"/>
      <w:bookmarkStart w:id="172" w:name="_Toc17119"/>
      <w:bookmarkStart w:id="173" w:name="_Toc21433"/>
      <w:bookmarkStart w:id="174" w:name="_Toc12785_WPSOffice_Level2"/>
      <w:r>
        <w:rPr>
          <w:rFonts w:hint="eastAsia" w:ascii="仿宋" w:hAnsi="仿宋" w:eastAsia="仿宋"/>
          <w:bCs/>
          <w:color w:val="000000" w:themeColor="text1"/>
          <w:sz w:val="24"/>
          <w:highlight w:val="none"/>
          <w14:textFill>
            <w14:solidFill>
              <w14:schemeClr w14:val="tx1"/>
            </w14:solidFill>
          </w14:textFill>
        </w:rPr>
        <w:t>五、付款方式</w:t>
      </w:r>
      <w:bookmarkEnd w:id="168"/>
      <w:bookmarkEnd w:id="169"/>
      <w:bookmarkEnd w:id="170"/>
      <w:bookmarkEnd w:id="171"/>
      <w:bookmarkEnd w:id="172"/>
      <w:bookmarkEnd w:id="173"/>
      <w:bookmarkEnd w:id="174"/>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1、甲方在本合同签订生效之日起接到乙方通知和票据凭证资料以及乙方交给甲方的合同履约保证金（按合同总价的百分之</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计算款额￥</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元，人民币大写：</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元整）后的</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日内支付合同金额百分之     的价款；</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2、全部货物安装调试完毕并验收合格之日起，甲方接到乙方通知与票据凭证资料以后的</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日内，提交支付凭证资料给</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办理支付手续，并由其向乙方核拨合同总价的百分之</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款项：￥</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元，人民币大写</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元整；</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3、合同履约保证金：在货物验收合格满</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后，甲方财务部门接到乙方通知和支付凭证资料文件，以及由甲方确认本合同货物质量与服务等约定事项已经履行完毕的正式书面文件后的</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日内，递交结算凭证资料给银行并由其向乙方支付价款￥</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 人民币大写：</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元整；</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4、乙方须向甲方出具合法有效完整的完税发票及凭证资料进行支付结算。</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75" w:name="_Toc10488_WPSOffice_Level2"/>
      <w:bookmarkStart w:id="176" w:name="_Toc29040"/>
      <w:bookmarkStart w:id="177" w:name="_Toc8403"/>
      <w:bookmarkStart w:id="178" w:name="_Toc9684_WPSOffice_Level2"/>
      <w:bookmarkStart w:id="179" w:name="_Toc2252"/>
      <w:bookmarkStart w:id="180" w:name="_Toc21573"/>
      <w:bookmarkStart w:id="181" w:name="_Toc24545"/>
      <w:r>
        <w:rPr>
          <w:rFonts w:hint="eastAsia" w:ascii="仿宋" w:hAnsi="仿宋" w:eastAsia="仿宋"/>
          <w:bCs/>
          <w:color w:val="000000" w:themeColor="text1"/>
          <w:sz w:val="24"/>
          <w:highlight w:val="none"/>
          <w14:textFill>
            <w14:solidFill>
              <w14:schemeClr w14:val="tx1"/>
            </w14:solidFill>
          </w14:textFill>
        </w:rPr>
        <w:t>六、售后服务</w:t>
      </w:r>
      <w:bookmarkEnd w:id="175"/>
      <w:bookmarkEnd w:id="176"/>
      <w:bookmarkEnd w:id="177"/>
      <w:bookmarkEnd w:id="178"/>
      <w:bookmarkEnd w:id="179"/>
      <w:bookmarkEnd w:id="180"/>
      <w:bookmarkEnd w:id="181"/>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1、质保期为验收合格后</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年，质保期内出现质量问题，乙方在接到通知后   小时内响应到场，</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小时内完成维修或更换，并承担修理调换的费用；如货物经乙方</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次维修仍不能达到本合同约定的质量标准，视作乙方未能按时交货，甲方有权退货并追究乙方的违约责任。货到现场后由于甲方保管不当造成的问题，乙方亦应负责修复，但费用由甲方负担。</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2、乙方须指派专人负责与甲方联系售后服务事宜。 </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82" w:name="_Toc30786_WPSOffice_Level2"/>
      <w:bookmarkStart w:id="183" w:name="_Toc2558"/>
      <w:bookmarkStart w:id="184" w:name="_Toc11246"/>
      <w:bookmarkStart w:id="185" w:name="_Toc4430_WPSOffice_Level2"/>
      <w:bookmarkStart w:id="186" w:name="_Toc20849"/>
      <w:bookmarkStart w:id="187" w:name="_Toc15122"/>
      <w:bookmarkStart w:id="188" w:name="_Toc32134"/>
      <w:r>
        <w:rPr>
          <w:rFonts w:hint="eastAsia" w:ascii="仿宋" w:hAnsi="仿宋" w:eastAsia="仿宋"/>
          <w:bCs/>
          <w:color w:val="000000" w:themeColor="text1"/>
          <w:sz w:val="24"/>
          <w:highlight w:val="none"/>
          <w14:textFill>
            <w14:solidFill>
              <w14:schemeClr w14:val="tx1"/>
            </w14:solidFill>
          </w14:textFill>
        </w:rPr>
        <w:t>七、违约责任</w:t>
      </w:r>
      <w:bookmarkEnd w:id="182"/>
      <w:bookmarkEnd w:id="183"/>
      <w:bookmarkEnd w:id="184"/>
      <w:bookmarkEnd w:id="185"/>
      <w:bookmarkEnd w:id="186"/>
      <w:bookmarkEnd w:id="187"/>
      <w:bookmarkEnd w:id="188"/>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89" w:name="_Toc27"/>
      <w:bookmarkStart w:id="190" w:name="_Toc5071"/>
      <w:bookmarkStart w:id="191" w:name="_Toc14696"/>
      <w:bookmarkStart w:id="192" w:name="_Toc17067_WPSOffice_Level2"/>
      <w:bookmarkStart w:id="193" w:name="_Toc10792_WPSOffice_Level2"/>
      <w:r>
        <w:rPr>
          <w:rFonts w:hint="eastAsia" w:ascii="仿宋" w:hAnsi="仿宋" w:eastAsia="仿宋"/>
          <w:bCs/>
          <w:color w:val="000000" w:themeColor="text1"/>
          <w:sz w:val="24"/>
          <w:highlight w:val="none"/>
          <w14:textFill>
            <w14:solidFill>
              <w14:schemeClr w14:val="tx1"/>
            </w14:solidFill>
          </w14:textFill>
        </w:rPr>
        <w:t>1、任何一方无故终止合同，应按照合同总价的10%向另一方支付违约赔偿金和相关损失。对于损失的赔偿，甲、乙双方将本着诚实信用及互谅互让的原则友好协商解决或提交项目所在地法院诉讼。</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2、如乙方在履约过程中发生重大安全事故，或因乙方责任发生安全事故，甲方将向乙方索赔并终止本合同。</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3、乙方在合同期内存在弄虚作假、未按要求完成工作量、未提供应提供的资料等严重违约行为，除承担违约责任外，甲方将有权终止本合同。</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94" w:name="_Toc19662"/>
      <w:bookmarkStart w:id="195" w:name="_Toc6915"/>
      <w:r>
        <w:rPr>
          <w:rFonts w:hint="eastAsia" w:ascii="仿宋" w:hAnsi="仿宋" w:eastAsia="仿宋"/>
          <w:bCs/>
          <w:color w:val="000000" w:themeColor="text1"/>
          <w:sz w:val="24"/>
          <w:highlight w:val="none"/>
          <w14:textFill>
            <w14:solidFill>
              <w14:schemeClr w14:val="tx1"/>
            </w14:solidFill>
          </w14:textFill>
        </w:rPr>
        <w:t>八、争议解决办法</w:t>
      </w:r>
      <w:bookmarkEnd w:id="189"/>
      <w:bookmarkEnd w:id="190"/>
      <w:bookmarkEnd w:id="191"/>
      <w:bookmarkEnd w:id="192"/>
      <w:bookmarkEnd w:id="193"/>
      <w:bookmarkEnd w:id="194"/>
      <w:bookmarkEnd w:id="195"/>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1、因货物的质量问题发生争议，由质量技术监督部门或其指定的质量鉴定机构进行质量鉴定。货物符合标准的，鉴定费由甲方承担；货物不符合质量标准的，鉴定费由乙方承担。</w:t>
      </w:r>
    </w:p>
    <w:p>
      <w:pPr>
        <w:spacing w:line="360" w:lineRule="auto"/>
        <w:ind w:firstLine="480" w:firstLineChars="200"/>
        <w:rPr>
          <w:rFonts w:hint="eastAsia" w:ascii="仿宋" w:hAnsi="仿宋" w:eastAsia="仿宋"/>
          <w:bCs/>
          <w:color w:val="000000" w:themeColor="text1"/>
          <w:sz w:val="24"/>
          <w:highlight w:val="magenta"/>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2、合同履行期间,若双方发生争议，可协商或由有关部门调解解决，协商或调解不成的，</w:t>
      </w:r>
      <w:r>
        <w:rPr>
          <w:rFonts w:hint="eastAsia" w:ascii="仿宋" w:hAnsi="仿宋" w:eastAsia="仿宋"/>
          <w:bCs/>
          <w:color w:val="000000" w:themeColor="text1"/>
          <w:sz w:val="24"/>
          <w:highlight w:val="magenta"/>
          <w14:textFill>
            <w14:solidFill>
              <w14:schemeClr w14:val="tx1"/>
            </w14:solidFill>
          </w14:textFill>
        </w:rPr>
        <w:t>向甲方住所地人民法院提起诉讼。</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96" w:name="_Toc16599"/>
      <w:bookmarkStart w:id="197" w:name="_Toc32703"/>
      <w:bookmarkStart w:id="198" w:name="_Toc17213"/>
      <w:bookmarkStart w:id="199" w:name="_Toc17652"/>
      <w:bookmarkStart w:id="200" w:name="_Toc16028_WPSOffice_Level2"/>
      <w:bookmarkStart w:id="201" w:name="_Toc23388"/>
      <w:bookmarkStart w:id="202" w:name="_Toc10471_WPSOffice_Level2"/>
      <w:r>
        <w:rPr>
          <w:rFonts w:hint="eastAsia" w:ascii="仿宋" w:hAnsi="仿宋" w:eastAsia="仿宋"/>
          <w:bCs/>
          <w:color w:val="000000" w:themeColor="text1"/>
          <w:sz w:val="24"/>
          <w:highlight w:val="none"/>
          <w14:textFill>
            <w14:solidFill>
              <w14:schemeClr w14:val="tx1"/>
            </w14:solidFill>
          </w14:textFill>
        </w:rPr>
        <w:t>九、其他</w:t>
      </w:r>
      <w:bookmarkEnd w:id="196"/>
      <w:bookmarkEnd w:id="197"/>
      <w:bookmarkEnd w:id="198"/>
      <w:bookmarkEnd w:id="199"/>
      <w:bookmarkEnd w:id="200"/>
      <w:bookmarkEnd w:id="201"/>
      <w:bookmarkEnd w:id="202"/>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1、如有未尽事宜，由双方依法订立补充合同。</w:t>
      </w:r>
    </w:p>
    <w:p>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2、本合同一式X份，自双方签章之日起生效。甲方X份、乙方X份、采购代理机构一份。</w:t>
      </w:r>
    </w:p>
    <w:p>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p>
    <w:tbl>
      <w:tblPr>
        <w:tblStyle w:val="26"/>
        <w:tblpPr w:leftFromText="180" w:rightFromText="180" w:vertAnchor="text" w:horzAnchor="page" w:tblpX="1397" w:tblpY="223"/>
        <w:tblOverlap w:val="never"/>
        <w:tblW w:w="952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63"/>
        <w:gridCol w:w="476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 w:hRule="atLeast"/>
        </w:trPr>
        <w:tc>
          <w:tcPr>
            <w:tcW w:w="4763" w:type="dxa"/>
            <w:tcBorders>
              <w:top w:val="single" w:color="auto" w:sz="4" w:space="0"/>
              <w:left w:val="single" w:color="auto" w:sz="4" w:space="0"/>
              <w:bottom w:val="single" w:color="auto" w:sz="4" w:space="0"/>
              <w:right w:val="single" w:color="auto" w:sz="4" w:space="0"/>
            </w:tcBorders>
          </w:tcPr>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甲方（盖章）：</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甲方代表（签字）：</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地址：</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电话：</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开户银行：</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开户帐号： </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tc>
        <w:tc>
          <w:tcPr>
            <w:tcW w:w="4763" w:type="dxa"/>
            <w:tcBorders>
              <w:top w:val="single" w:color="auto" w:sz="4" w:space="0"/>
              <w:left w:val="single" w:color="auto" w:sz="4" w:space="0"/>
              <w:bottom w:val="single" w:color="auto" w:sz="4" w:space="0"/>
              <w:right w:val="single" w:color="auto" w:sz="4" w:space="0"/>
            </w:tcBorders>
          </w:tcPr>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乙方（盖章）：  </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乙方代表（签字）：</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地址： </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电话：</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开户银行：</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开户帐号：</w:t>
            </w: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tc>
      </w:tr>
    </w:tbl>
    <w:p>
      <w:pPr>
        <w:spacing w:line="360" w:lineRule="auto"/>
        <w:ind w:firstLine="482" w:firstLineChars="200"/>
        <w:rPr>
          <w:rFonts w:hint="eastAsia" w:ascii="仿宋" w:hAnsi="仿宋" w:eastAsia="仿宋"/>
          <w:b/>
          <w:color w:val="auto"/>
          <w:sz w:val="24"/>
        </w:rPr>
      </w:pPr>
    </w:p>
    <w:p>
      <w:pPr>
        <w:pStyle w:val="12"/>
        <w:rPr>
          <w:rFonts w:hint="eastAsia" w:ascii="仿宋" w:hAnsi="仿宋" w:eastAsia="仿宋" w:cs="仿宋"/>
          <w:color w:val="auto"/>
          <w:sz w:val="36"/>
          <w:szCs w:val="36"/>
        </w:rPr>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p>
    <w:p>
      <w:pPr>
        <w:pStyle w:val="4"/>
        <w:keepNext/>
        <w:keepLines w:val="0"/>
        <w:pageBreakBefore w:val="0"/>
        <w:widowControl w:val="0"/>
        <w:kinsoku/>
        <w:wordWrap/>
        <w:overflowPunct/>
        <w:topLinePunct w:val="0"/>
        <w:autoSpaceDE/>
        <w:autoSpaceDN/>
        <w:bidi w:val="0"/>
        <w:adjustRightInd/>
        <w:snapToGrid/>
        <w:spacing w:before="0" w:beforeLines="0" w:line="240" w:lineRule="auto"/>
        <w:textAlignment w:val="auto"/>
        <w:rPr>
          <w:rFonts w:ascii="仿宋" w:hAnsi="仿宋" w:eastAsia="仿宋" w:cs="仿宋"/>
          <w:color w:val="auto"/>
          <w:sz w:val="36"/>
          <w:szCs w:val="36"/>
        </w:rPr>
      </w:pPr>
      <w:bookmarkStart w:id="203" w:name="_Toc14066"/>
      <w:bookmarkStart w:id="204" w:name="_Toc6079"/>
      <w:r>
        <w:rPr>
          <w:rFonts w:hint="eastAsia" w:ascii="仿宋" w:hAnsi="仿宋" w:eastAsia="仿宋" w:cs="仿宋"/>
          <w:color w:val="auto"/>
          <w:sz w:val="36"/>
          <w:szCs w:val="36"/>
        </w:rPr>
        <w:t>第十章 附件</w:t>
      </w:r>
      <w:bookmarkEnd w:id="136"/>
      <w:bookmarkEnd w:id="137"/>
      <w:bookmarkEnd w:id="138"/>
      <w:bookmarkEnd w:id="139"/>
      <w:bookmarkEnd w:id="203"/>
      <w:bookmarkEnd w:id="204"/>
    </w:p>
    <w:p>
      <w:pPr>
        <w:spacing w:before="170"/>
        <w:ind w:right="0" w:rightChars="0"/>
        <w:jc w:val="center"/>
        <w:outlineLvl w:val="1"/>
        <w:rPr>
          <w:rFonts w:hint="eastAsia" w:ascii="仿宋" w:hAnsi="仿宋" w:eastAsia="仿宋" w:cs="仿宋"/>
          <w:b/>
          <w:bCs/>
          <w:color w:val="auto"/>
          <w:sz w:val="36"/>
          <w:szCs w:val="36"/>
          <w:lang w:eastAsia="zh-CN"/>
        </w:rPr>
      </w:pPr>
      <w:bookmarkStart w:id="205" w:name="_Toc13602"/>
      <w:r>
        <w:rPr>
          <w:rFonts w:hint="eastAsia" w:ascii="仿宋" w:hAnsi="仿宋" w:eastAsia="仿宋" w:cs="仿宋"/>
          <w:b/>
          <w:bCs/>
          <w:color w:val="auto"/>
          <w:sz w:val="36"/>
          <w:szCs w:val="36"/>
        </w:rPr>
        <w:t>供应商报名登记</w:t>
      </w:r>
      <w:r>
        <w:rPr>
          <w:rFonts w:hint="eastAsia" w:ascii="仿宋" w:hAnsi="仿宋" w:eastAsia="仿宋" w:cs="仿宋"/>
          <w:b/>
          <w:bCs/>
          <w:color w:val="auto"/>
          <w:sz w:val="36"/>
          <w:szCs w:val="36"/>
          <w:lang w:eastAsia="zh-CN"/>
        </w:rPr>
        <w:t>表</w:t>
      </w:r>
      <w:bookmarkEnd w:id="205"/>
    </w:p>
    <w:p>
      <w:pPr>
        <w:rPr>
          <w:color w:val="auto"/>
        </w:rPr>
      </w:pPr>
    </w:p>
    <w:tbl>
      <w:tblPr>
        <w:tblStyle w:val="26"/>
        <w:tblW w:w="8820" w:type="dxa"/>
        <w:jc w:val="center"/>
        <w:tblLayout w:type="fixed"/>
        <w:tblCellMar>
          <w:top w:w="0" w:type="dxa"/>
          <w:left w:w="108" w:type="dxa"/>
          <w:bottom w:w="0" w:type="dxa"/>
          <w:right w:w="108" w:type="dxa"/>
        </w:tblCellMar>
      </w:tblPr>
      <w:tblGrid>
        <w:gridCol w:w="2467"/>
        <w:gridCol w:w="6353"/>
      </w:tblGrid>
      <w:tr>
        <w:tblPrEx>
          <w:tblCellMar>
            <w:top w:w="0" w:type="dxa"/>
            <w:left w:w="108" w:type="dxa"/>
            <w:bottom w:w="0" w:type="dxa"/>
            <w:right w:w="108" w:type="dxa"/>
          </w:tblCellMar>
        </w:tblPrEx>
        <w:trPr>
          <w:trHeight w:val="571" w:hRule="atLeast"/>
          <w:jc w:val="center"/>
        </w:trPr>
        <w:tc>
          <w:tcPr>
            <w:tcW w:w="246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项目编号(※）</w:t>
            </w:r>
          </w:p>
        </w:tc>
        <w:tc>
          <w:tcPr>
            <w:tcW w:w="6353"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spacing w:line="360" w:lineRule="auto"/>
              <w:jc w:val="left"/>
              <w:textAlignment w:val="center"/>
              <w:rPr>
                <w:rFonts w:ascii="仿宋" w:hAnsi="仿宋" w:eastAsia="仿宋" w:cs="仿宋"/>
                <w:color w:val="auto"/>
                <w:sz w:val="32"/>
                <w:szCs w:val="32"/>
              </w:rPr>
            </w:pPr>
          </w:p>
        </w:tc>
      </w:tr>
      <w:tr>
        <w:tblPrEx>
          <w:tblCellMar>
            <w:top w:w="0" w:type="dxa"/>
            <w:left w:w="108" w:type="dxa"/>
            <w:bottom w:w="0" w:type="dxa"/>
            <w:right w:w="108" w:type="dxa"/>
          </w:tblCellMar>
        </w:tblPrEx>
        <w:trPr>
          <w:trHeight w:val="530" w:hRule="atLeast"/>
          <w:jc w:val="center"/>
        </w:trPr>
        <w:tc>
          <w:tcPr>
            <w:tcW w:w="2467"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项目名称(※）</w:t>
            </w:r>
          </w:p>
        </w:tc>
        <w:tc>
          <w:tcPr>
            <w:tcW w:w="6353"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widowControl/>
              <w:spacing w:line="360" w:lineRule="auto"/>
              <w:jc w:val="left"/>
              <w:textAlignment w:val="center"/>
              <w:rPr>
                <w:rFonts w:ascii="仿宋" w:hAnsi="仿宋" w:eastAsia="仿宋" w:cs="仿宋"/>
                <w:color w:val="auto"/>
                <w:sz w:val="32"/>
                <w:szCs w:val="32"/>
              </w:rPr>
            </w:pPr>
          </w:p>
        </w:tc>
      </w:tr>
      <w:tr>
        <w:tblPrEx>
          <w:tblCellMar>
            <w:top w:w="0" w:type="dxa"/>
            <w:left w:w="108" w:type="dxa"/>
            <w:bottom w:w="0" w:type="dxa"/>
            <w:right w:w="108" w:type="dxa"/>
          </w:tblCellMar>
        </w:tblPrEx>
        <w:trPr>
          <w:trHeight w:val="634" w:hRule="atLeast"/>
          <w:jc w:val="center"/>
        </w:trPr>
        <w:tc>
          <w:tcPr>
            <w:tcW w:w="2467"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单位名称(※）</w:t>
            </w:r>
          </w:p>
        </w:tc>
        <w:tc>
          <w:tcPr>
            <w:tcW w:w="6353" w:type="dxa"/>
            <w:tcBorders>
              <w:top w:val="single" w:color="000000" w:sz="4" w:space="0"/>
              <w:left w:val="single" w:color="auto" w:sz="4" w:space="0"/>
              <w:bottom w:val="single" w:color="000000" w:sz="4" w:space="0"/>
              <w:right w:val="single" w:color="000000" w:sz="4" w:space="0"/>
            </w:tcBorders>
            <w:tcMar>
              <w:top w:w="15" w:type="dxa"/>
              <w:left w:w="15" w:type="dxa"/>
              <w:bottom w:w="15" w:type="dxa"/>
              <w:right w:w="15" w:type="dxa"/>
            </w:tcMar>
            <w:vAlign w:val="bottom"/>
          </w:tcPr>
          <w:p>
            <w:pPr>
              <w:spacing w:line="360" w:lineRule="auto"/>
              <w:jc w:val="right"/>
              <w:rPr>
                <w:rFonts w:ascii="仿宋" w:hAnsi="仿宋" w:eastAsia="仿宋" w:cs="仿宋"/>
                <w:color w:val="auto"/>
                <w:sz w:val="32"/>
                <w:szCs w:val="32"/>
              </w:rPr>
            </w:pPr>
            <w:r>
              <w:rPr>
                <w:rFonts w:hint="eastAsia" w:ascii="仿宋" w:hAnsi="仿宋" w:eastAsia="仿宋" w:cs="仿宋"/>
                <w:color w:val="auto"/>
                <w:sz w:val="24"/>
              </w:rPr>
              <w:t>(加盖公章)</w:t>
            </w:r>
          </w:p>
        </w:tc>
      </w:tr>
      <w:tr>
        <w:tblPrEx>
          <w:tblCellMar>
            <w:top w:w="0" w:type="dxa"/>
            <w:left w:w="108" w:type="dxa"/>
            <w:bottom w:w="0" w:type="dxa"/>
            <w:right w:w="108" w:type="dxa"/>
          </w:tblCellMar>
        </w:tblPrEx>
        <w:trPr>
          <w:trHeight w:val="611"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单位地址(※）</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566"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购买文件时间(※）</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574"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包件号(※）</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664"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联系人(※）</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694"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单位固定电话</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619"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经办人移动电话(※）</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622"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单位传真</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538"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40" w:lineRule="auto"/>
              <w:jc w:val="center"/>
              <w:rPr>
                <w:rFonts w:ascii="仿宋" w:hAnsi="仿宋" w:eastAsia="仿宋" w:cs="仿宋"/>
                <w:color w:val="auto"/>
                <w:sz w:val="24"/>
              </w:rPr>
            </w:pPr>
            <w:r>
              <w:rPr>
                <w:rFonts w:hint="eastAsia" w:ascii="仿宋" w:hAnsi="仿宋" w:eastAsia="仿宋" w:cs="仿宋"/>
                <w:color w:val="auto"/>
                <w:sz w:val="24"/>
              </w:rPr>
              <w:t>电子邮箱(※）</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3602"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360" w:lineRule="auto"/>
              <w:jc w:val="center"/>
              <w:rPr>
                <w:rFonts w:ascii="仿宋" w:hAnsi="仿宋" w:eastAsia="仿宋" w:cs="仿宋"/>
                <w:color w:val="auto"/>
                <w:sz w:val="24"/>
              </w:rPr>
            </w:pPr>
            <w:r>
              <w:rPr>
                <w:rFonts w:hint="eastAsia" w:ascii="仿宋" w:hAnsi="仿宋" w:eastAsia="仿宋" w:cs="仿宋"/>
                <w:color w:val="auto"/>
                <w:sz w:val="24"/>
              </w:rPr>
              <w:t>备    注</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24"/>
              </w:rPr>
            </w:pPr>
            <w:r>
              <w:rPr>
                <w:rFonts w:hint="eastAsia" w:ascii="仿宋" w:hAnsi="仿宋" w:eastAsia="仿宋" w:cs="仿宋"/>
                <w:color w:val="auto"/>
                <w:sz w:val="24"/>
              </w:rPr>
              <w:t>1、购买采购文件时须携带如下合法有效的证件（原件）：</w:t>
            </w:r>
          </w:p>
          <w:p>
            <w:pPr>
              <w:spacing w:line="360" w:lineRule="auto"/>
              <w:rPr>
                <w:rFonts w:ascii="仿宋" w:hAnsi="仿宋" w:eastAsia="仿宋" w:cs="仿宋"/>
                <w:color w:val="auto"/>
                <w:sz w:val="24"/>
              </w:rPr>
            </w:pPr>
            <w:r>
              <w:rPr>
                <w:rFonts w:hint="eastAsia" w:ascii="仿宋" w:hAnsi="仿宋" w:eastAsia="仿宋" w:cs="仿宋"/>
                <w:color w:val="auto"/>
                <w:sz w:val="24"/>
              </w:rPr>
              <w:t>①本表（即供应商报名登记表）；</w:t>
            </w:r>
          </w:p>
          <w:p>
            <w:pPr>
              <w:spacing w:line="360" w:lineRule="auto"/>
              <w:rPr>
                <w:rFonts w:ascii="仿宋" w:hAnsi="仿宋" w:eastAsia="仿宋" w:cs="仿宋"/>
                <w:color w:val="auto"/>
                <w:sz w:val="24"/>
              </w:rPr>
            </w:pPr>
            <w:r>
              <w:rPr>
                <w:rFonts w:hint="eastAsia" w:ascii="仿宋" w:hAnsi="仿宋" w:eastAsia="仿宋" w:cs="仿宋"/>
                <w:color w:val="auto"/>
                <w:sz w:val="24"/>
              </w:rPr>
              <w:t>②供应商介绍信原件（加盖公章）；</w:t>
            </w:r>
          </w:p>
          <w:p>
            <w:pPr>
              <w:spacing w:line="360" w:lineRule="auto"/>
              <w:rPr>
                <w:rFonts w:ascii="仿宋" w:hAnsi="仿宋" w:eastAsia="仿宋" w:cs="仿宋"/>
                <w:color w:val="auto"/>
                <w:sz w:val="24"/>
              </w:rPr>
            </w:pPr>
            <w:r>
              <w:rPr>
                <w:rFonts w:hint="eastAsia" w:ascii="仿宋" w:hAnsi="仿宋" w:eastAsia="仿宋" w:cs="仿宋"/>
                <w:color w:val="auto"/>
                <w:sz w:val="24"/>
              </w:rPr>
              <w:t>③供应商经办人身份证</w:t>
            </w:r>
            <w:r>
              <w:rPr>
                <w:rFonts w:hint="eastAsia" w:ascii="仿宋" w:hAnsi="仿宋" w:eastAsia="仿宋" w:cs="仿宋"/>
                <w:color w:val="auto"/>
                <w:sz w:val="24"/>
                <w:lang w:eastAsia="zh-CN"/>
              </w:rPr>
              <w:t>影印件</w:t>
            </w:r>
            <w:r>
              <w:rPr>
                <w:rFonts w:hint="eastAsia" w:ascii="仿宋" w:hAnsi="仿宋" w:eastAsia="仿宋" w:cs="仿宋"/>
                <w:color w:val="auto"/>
                <w:sz w:val="24"/>
              </w:rPr>
              <w:t>（加盖公章）；</w:t>
            </w:r>
          </w:p>
          <w:p>
            <w:pPr>
              <w:spacing w:line="360" w:lineRule="auto"/>
              <w:rPr>
                <w:rFonts w:ascii="仿宋" w:hAnsi="仿宋" w:eastAsia="仿宋" w:cs="仿宋"/>
                <w:color w:val="auto"/>
                <w:sz w:val="24"/>
              </w:rPr>
            </w:pPr>
            <w:r>
              <w:rPr>
                <w:rFonts w:hint="eastAsia" w:ascii="仿宋" w:hAnsi="仿宋" w:eastAsia="仿宋" w:cs="仿宋"/>
                <w:color w:val="auto"/>
                <w:sz w:val="24"/>
              </w:rPr>
              <w:t>采用邮购方式的供应商请将上述资料电子版传至我司邮箱：jrzb8222@126.com，联系电话：0813-8108222。</w:t>
            </w:r>
          </w:p>
          <w:p>
            <w:pPr>
              <w:spacing w:line="360" w:lineRule="auto"/>
              <w:rPr>
                <w:rFonts w:ascii="仿宋" w:hAnsi="仿宋" w:eastAsia="仿宋" w:cs="仿宋"/>
                <w:color w:val="auto"/>
                <w:sz w:val="24"/>
              </w:rPr>
            </w:pPr>
            <w:r>
              <w:rPr>
                <w:rFonts w:hint="eastAsia" w:ascii="仿宋" w:hAnsi="仿宋" w:eastAsia="仿宋" w:cs="仿宋"/>
                <w:color w:val="auto"/>
                <w:sz w:val="24"/>
              </w:rPr>
              <w:t>2、带※号为必填项；</w:t>
            </w:r>
          </w:p>
          <w:p>
            <w:pPr>
              <w:spacing w:line="360" w:lineRule="auto"/>
              <w:rPr>
                <w:rFonts w:ascii="仿宋" w:hAnsi="仿宋" w:eastAsia="仿宋" w:cs="仿宋"/>
                <w:color w:val="auto"/>
                <w:sz w:val="24"/>
              </w:rPr>
            </w:pPr>
            <w:r>
              <w:rPr>
                <w:rFonts w:hint="eastAsia" w:ascii="仿宋" w:hAnsi="仿宋" w:eastAsia="仿宋" w:cs="仿宋"/>
                <w:color w:val="auto"/>
                <w:sz w:val="24"/>
              </w:rPr>
              <w:t>3、无包件号填“/”。</w:t>
            </w:r>
          </w:p>
        </w:tc>
      </w:tr>
    </w:tbl>
    <w:p>
      <w:pPr>
        <w:rPr>
          <w:rFonts w:ascii="仿宋" w:hAnsi="仿宋" w:eastAsia="仿宋" w:cs="仿宋"/>
          <w:color w:val="auto"/>
          <w:sz w:val="10"/>
          <w:szCs w:val="10"/>
        </w:rPr>
      </w:pPr>
    </w:p>
    <w:p>
      <w:pPr>
        <w:rPr>
          <w:rFonts w:ascii="仿宋" w:hAnsi="仿宋" w:eastAsia="仿宋" w:cs="仿宋"/>
          <w:color w:val="auto"/>
          <w:sz w:val="10"/>
          <w:szCs w:val="10"/>
        </w:rPr>
      </w:pPr>
    </w:p>
    <w:p>
      <w:pPr>
        <w:rPr>
          <w:rFonts w:ascii="仿宋" w:hAnsi="仿宋" w:eastAsia="仿宋" w:cs="仿宋"/>
          <w:color w:val="auto"/>
          <w:sz w:val="10"/>
          <w:szCs w:val="10"/>
        </w:rPr>
      </w:pPr>
    </w:p>
    <w:p>
      <w:pPr>
        <w:rPr>
          <w:rFonts w:ascii="仿宋" w:hAnsi="仿宋" w:eastAsia="仿宋" w:cs="仿宋"/>
          <w:color w:val="auto"/>
          <w:sz w:val="10"/>
          <w:szCs w:val="10"/>
        </w:rPr>
      </w:pPr>
    </w:p>
    <w:p>
      <w:pPr>
        <w:tabs>
          <w:tab w:val="left" w:pos="1349"/>
        </w:tabs>
        <w:rPr>
          <w:rFonts w:ascii="仿宋" w:hAnsi="仿宋" w:eastAsia="仿宋" w:cs="仿宋"/>
          <w:color w:val="auto"/>
          <w:sz w:val="10"/>
          <w:szCs w:val="10"/>
        </w:rPr>
      </w:pPr>
      <w:r>
        <w:rPr>
          <w:rFonts w:hint="eastAsia" w:ascii="仿宋" w:hAnsi="仿宋" w:eastAsia="仿宋" w:cs="仿宋"/>
          <w:color w:val="auto"/>
          <w:sz w:val="10"/>
          <w:szCs w:val="10"/>
        </w:rPr>
        <w:tab/>
      </w:r>
    </w:p>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Noto Sans CJK JP Regular">
    <w:altName w:val="Segoe Print"/>
    <w:panose1 w:val="00000000000000000000"/>
    <w:charset w:val="00"/>
    <w:family w:val="swiss"/>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19"/>
                          </w:pPr>
                          <w:r>
                            <w:fldChar w:fldCharType="begin"/>
                          </w:r>
                          <w:r>
                            <w:instrText xml:space="preserve"> PAGE  \* MERGEFORMAT </w:instrText>
                          </w:r>
                          <w:r>
                            <w:fldChar w:fldCharType="separate"/>
                          </w:r>
                          <w:r>
                            <w:t>- 28 -</w:t>
                          </w:r>
                          <w:r>
                            <w:fldChar w:fldCharType="end"/>
                          </w:r>
                        </w:p>
                      </w:txbxContent>
                    </wps:txbx>
                    <wps:bodyPr wrap="none" lIns="0" tIns="0" rIns="0" bIns="0" upright="1">
                      <a:spAutoFit/>
                    </wps:bodyPr>
                  </wps:wsp>
                </a:graphicData>
              </a:graphic>
            </wp:anchor>
          </w:drawing>
        </mc:Choice>
        <mc:Fallback>
          <w:pict>
            <v:shape id="文本框 3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9zEP79gBAACyAwAADgAAAAAAAAAB&#10;ACAAAAAiAQAAZHJzL2Uyb0RvYy54bWxQSwUGAAAAAAYABgBZAQAAbAUAAAAA&#10;">
              <v:fill on="f" focussize="0,0"/>
              <v:stroke on="f" weight="1.25pt"/>
              <v:imagedata o:title=""/>
              <o:lock v:ext="edit" aspectratio="f"/>
              <v:textbox inset="0mm,0mm,0mm,0mm" style="mso-fit-shape-to-text:t;">
                <w:txbxContent>
                  <w:p>
                    <w:pPr>
                      <w:pStyle w:val="19"/>
                    </w:pPr>
                    <w:r>
                      <w:fldChar w:fldCharType="begin"/>
                    </w:r>
                    <w:r>
                      <w:instrText xml:space="preserve"> PAGE  \* MERGEFORMAT </w:instrText>
                    </w:r>
                    <w:r>
                      <w:fldChar w:fldCharType="separate"/>
                    </w:r>
                    <w:r>
                      <w:t>- 28 -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- 91 -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- 91 -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- 90 -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- 90 -</w:t>
                    </w:r>
                    <w:r>
                      <w:fldChar w:fldCharType="end"/>
                    </w:r>
                  </w:p>
                </w:txbxContent>
              </v:textbox>
            </v:shape>
          </w:pict>
        </mc:Fallback>
      </mc:AlternateContent>
    </w: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single" w:color="auto" w:sz="4" w:space="1"/>
      </w:pBdr>
      <w:jc w:val="left"/>
    </w:pPr>
    <w:r>
      <w:rPr>
        <w:rFonts w:hint="eastAsia"/>
      </w:rPr>
      <w:drawing>
        <wp:inline distT="0" distB="0" distL="0" distR="0">
          <wp:extent cx="1276350" cy="323850"/>
          <wp:effectExtent l="19050" t="0" r="0" b="0"/>
          <wp:docPr id="1" name="图片 2"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enter" w:pos="4875"/>
        <w:tab w:val="left" w:pos="6180"/>
      </w:tabs>
      <w:jc w:val="left"/>
    </w:pPr>
    <w:r>
      <w:rPr>
        <w:rFonts w:hint="eastAsia"/>
      </w:rPr>
      <w:drawing>
        <wp:inline distT="0" distB="0" distL="0" distR="0">
          <wp:extent cx="1276350" cy="323850"/>
          <wp:effectExtent l="19050" t="0" r="0" b="0"/>
          <wp:docPr id="3" name="图片 4"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a:effectLst/>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left"/>
    </w:pPr>
    <w:r>
      <w:rPr>
        <w:rFonts w:hint="eastAsia"/>
      </w:rPr>
      <w:drawing>
        <wp:anchor distT="0" distB="0" distL="114300" distR="114300" simplePos="0" relativeHeight="251659264" behindDoc="0" locked="0" layoutInCell="1" allowOverlap="1">
          <wp:simplePos x="0" y="0"/>
          <wp:positionH relativeFrom="column">
            <wp:posOffset>109220</wp:posOffset>
          </wp:positionH>
          <wp:positionV relativeFrom="paragraph">
            <wp:posOffset>-12065</wp:posOffset>
          </wp:positionV>
          <wp:extent cx="1119505" cy="264160"/>
          <wp:effectExtent l="19050" t="0" r="4445" b="0"/>
          <wp:wrapNone/>
          <wp:docPr id="27" name="图片 27"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520323175(1)"/>
                  <pic:cNvPicPr>
                    <a:picLocks noChangeAspect="1" noChangeArrowheads="1"/>
                  </pic:cNvPicPr>
                </pic:nvPicPr>
                <pic:blipFill>
                  <a:blip r:embed="rId1"/>
                  <a:srcRect/>
                  <a:stretch>
                    <a:fillRect/>
                  </a:stretch>
                </pic:blipFill>
                <pic:spPr>
                  <a:xfrm>
                    <a:off x="0" y="0"/>
                    <a:ext cx="1119505" cy="264160"/>
                  </a:xfrm>
                  <a:prstGeom prst="rect">
                    <a:avLst/>
                  </a:prstGeom>
                  <a:noFill/>
                  <a:ln w="9525">
                    <a:noFill/>
                    <a:miter lim="800000"/>
                    <a:headEnd/>
                    <a:tailEnd/>
                  </a:ln>
                  <a:effectLst/>
                </pic:spPr>
              </pic:pic>
            </a:graphicData>
          </a:graphic>
        </wp:anchor>
      </w:drawing>
    </w:r>
  </w:p>
  <w:p>
    <w:pPr>
      <w:pStyle w:val="20"/>
      <w:jc w:val="left"/>
    </w:pPr>
  </w:p>
  <w:p>
    <w:pPr>
      <w:pStyle w:val="20"/>
      <w:pBdr>
        <w:top w:val="none" w:color="auto" w:sz="0" w:space="1"/>
        <w:left w:val="none" w:color="auto" w:sz="0" w:space="4"/>
        <w:bottom w:val="none" w:color="auto" w:sz="0" w:space="1"/>
        <w:right w:val="none" w:color="auto" w:sz="0" w:space="4"/>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90FDBB"/>
    <w:multiLevelType w:val="singleLevel"/>
    <w:tmpl w:val="AE90FDBB"/>
    <w:lvl w:ilvl="0" w:tentative="0">
      <w:start w:val="1"/>
      <w:numFmt w:val="chineseCounting"/>
      <w:suff w:val="nothing"/>
      <w:lvlText w:val="%1、"/>
      <w:lvlJc w:val="left"/>
      <w:rPr>
        <w:rFonts w:hint="eastAsia"/>
      </w:rPr>
    </w:lvl>
  </w:abstractNum>
  <w:abstractNum w:abstractNumId="1">
    <w:nsid w:val="E768029D"/>
    <w:multiLevelType w:val="singleLevel"/>
    <w:tmpl w:val="E768029D"/>
    <w:lvl w:ilvl="0" w:tentative="0">
      <w:start w:val="2"/>
      <w:numFmt w:val="chineseCounting"/>
      <w:suff w:val="nothing"/>
      <w:lvlText w:val="%1、"/>
      <w:lvlJc w:val="left"/>
      <w:rPr>
        <w:rFonts w:hint="eastAsia"/>
      </w:r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2"/>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doNotCompress"/>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5YmI2N2MzYjg1MmZhMmM4MzQ1ZWFmODdlM2Y5MTYifQ=="/>
    <w:docVar w:name="KSO_WPS_MARK_KEY" w:val="befd820a-153a-4fa1-86d2-81d158d6e35b"/>
  </w:docVars>
  <w:rsids>
    <w:rsidRoot w:val="00172A27"/>
    <w:rsid w:val="00027FF3"/>
    <w:rsid w:val="00034AC4"/>
    <w:rsid w:val="000368CF"/>
    <w:rsid w:val="00037E43"/>
    <w:rsid w:val="0005149A"/>
    <w:rsid w:val="000741F4"/>
    <w:rsid w:val="00074E7D"/>
    <w:rsid w:val="00075CB6"/>
    <w:rsid w:val="000A270B"/>
    <w:rsid w:val="000A51B9"/>
    <w:rsid w:val="000A5F34"/>
    <w:rsid w:val="000A7056"/>
    <w:rsid w:val="000B1791"/>
    <w:rsid w:val="000B4B3B"/>
    <w:rsid w:val="000C23EE"/>
    <w:rsid w:val="000D2B89"/>
    <w:rsid w:val="000D62C3"/>
    <w:rsid w:val="000D74C6"/>
    <w:rsid w:val="00100A53"/>
    <w:rsid w:val="00105DB8"/>
    <w:rsid w:val="00107CB4"/>
    <w:rsid w:val="00110282"/>
    <w:rsid w:val="00110591"/>
    <w:rsid w:val="001168CF"/>
    <w:rsid w:val="00121DF9"/>
    <w:rsid w:val="0012647F"/>
    <w:rsid w:val="001310FD"/>
    <w:rsid w:val="00133459"/>
    <w:rsid w:val="001362AE"/>
    <w:rsid w:val="00143103"/>
    <w:rsid w:val="001471A3"/>
    <w:rsid w:val="0015588B"/>
    <w:rsid w:val="00157CC3"/>
    <w:rsid w:val="00172A27"/>
    <w:rsid w:val="001812E2"/>
    <w:rsid w:val="00182D8C"/>
    <w:rsid w:val="001C0141"/>
    <w:rsid w:val="001C054F"/>
    <w:rsid w:val="001D4D3B"/>
    <w:rsid w:val="001D7A66"/>
    <w:rsid w:val="001F2F3A"/>
    <w:rsid w:val="001F7B9F"/>
    <w:rsid w:val="00207586"/>
    <w:rsid w:val="00212A1E"/>
    <w:rsid w:val="00220AD8"/>
    <w:rsid w:val="0022165C"/>
    <w:rsid w:val="002632C1"/>
    <w:rsid w:val="00265A2C"/>
    <w:rsid w:val="002814F0"/>
    <w:rsid w:val="002B0BC4"/>
    <w:rsid w:val="002B0FE6"/>
    <w:rsid w:val="002B4B3C"/>
    <w:rsid w:val="002C0B91"/>
    <w:rsid w:val="002C0C98"/>
    <w:rsid w:val="002E4FB6"/>
    <w:rsid w:val="00301603"/>
    <w:rsid w:val="00305E5C"/>
    <w:rsid w:val="0031441E"/>
    <w:rsid w:val="00320E1A"/>
    <w:rsid w:val="0032125B"/>
    <w:rsid w:val="003252A9"/>
    <w:rsid w:val="00330D5E"/>
    <w:rsid w:val="00335EB1"/>
    <w:rsid w:val="00336D0C"/>
    <w:rsid w:val="003503AE"/>
    <w:rsid w:val="00367326"/>
    <w:rsid w:val="00370FAE"/>
    <w:rsid w:val="003864F0"/>
    <w:rsid w:val="0038745C"/>
    <w:rsid w:val="00393D49"/>
    <w:rsid w:val="003A3B78"/>
    <w:rsid w:val="003A77DE"/>
    <w:rsid w:val="003B644E"/>
    <w:rsid w:val="003C196D"/>
    <w:rsid w:val="003C1EEC"/>
    <w:rsid w:val="003C68BB"/>
    <w:rsid w:val="003E23D6"/>
    <w:rsid w:val="0040222F"/>
    <w:rsid w:val="004040C2"/>
    <w:rsid w:val="00406C10"/>
    <w:rsid w:val="00416398"/>
    <w:rsid w:val="004177C1"/>
    <w:rsid w:val="00417901"/>
    <w:rsid w:val="00427785"/>
    <w:rsid w:val="004350F3"/>
    <w:rsid w:val="00443A55"/>
    <w:rsid w:val="00447921"/>
    <w:rsid w:val="00450A8D"/>
    <w:rsid w:val="00466A1A"/>
    <w:rsid w:val="00475494"/>
    <w:rsid w:val="004846D6"/>
    <w:rsid w:val="00496FE4"/>
    <w:rsid w:val="004A1767"/>
    <w:rsid w:val="004A5CB5"/>
    <w:rsid w:val="004B3B5A"/>
    <w:rsid w:val="004B6650"/>
    <w:rsid w:val="004C0E76"/>
    <w:rsid w:val="004C1EB5"/>
    <w:rsid w:val="004D1A1E"/>
    <w:rsid w:val="004D3770"/>
    <w:rsid w:val="004E4892"/>
    <w:rsid w:val="004F0233"/>
    <w:rsid w:val="004F451F"/>
    <w:rsid w:val="00511A60"/>
    <w:rsid w:val="005175BD"/>
    <w:rsid w:val="005348B1"/>
    <w:rsid w:val="00536861"/>
    <w:rsid w:val="0053709D"/>
    <w:rsid w:val="00545335"/>
    <w:rsid w:val="00545758"/>
    <w:rsid w:val="005638BB"/>
    <w:rsid w:val="00564779"/>
    <w:rsid w:val="00573F38"/>
    <w:rsid w:val="00590B0B"/>
    <w:rsid w:val="00592CE7"/>
    <w:rsid w:val="00594FC2"/>
    <w:rsid w:val="0059516E"/>
    <w:rsid w:val="005A03F6"/>
    <w:rsid w:val="005B71C2"/>
    <w:rsid w:val="005B7EF1"/>
    <w:rsid w:val="005C71B0"/>
    <w:rsid w:val="005E7ADE"/>
    <w:rsid w:val="005F7284"/>
    <w:rsid w:val="00603EEA"/>
    <w:rsid w:val="00615C7B"/>
    <w:rsid w:val="0062041D"/>
    <w:rsid w:val="006269E0"/>
    <w:rsid w:val="006350DC"/>
    <w:rsid w:val="0065060D"/>
    <w:rsid w:val="0065734C"/>
    <w:rsid w:val="0067172B"/>
    <w:rsid w:val="0067480F"/>
    <w:rsid w:val="00676446"/>
    <w:rsid w:val="00677E49"/>
    <w:rsid w:val="00691980"/>
    <w:rsid w:val="00694F6D"/>
    <w:rsid w:val="006A0F0B"/>
    <w:rsid w:val="006C04F0"/>
    <w:rsid w:val="006D0986"/>
    <w:rsid w:val="006D15FD"/>
    <w:rsid w:val="006D509D"/>
    <w:rsid w:val="006D5942"/>
    <w:rsid w:val="006E1614"/>
    <w:rsid w:val="006E36B8"/>
    <w:rsid w:val="006E420C"/>
    <w:rsid w:val="007106CA"/>
    <w:rsid w:val="00716D59"/>
    <w:rsid w:val="00717877"/>
    <w:rsid w:val="00754C59"/>
    <w:rsid w:val="00761AA2"/>
    <w:rsid w:val="00773330"/>
    <w:rsid w:val="0077490E"/>
    <w:rsid w:val="00775236"/>
    <w:rsid w:val="0078024A"/>
    <w:rsid w:val="0078474B"/>
    <w:rsid w:val="007A6FD3"/>
    <w:rsid w:val="007B3520"/>
    <w:rsid w:val="007B5094"/>
    <w:rsid w:val="007C2765"/>
    <w:rsid w:val="007D0136"/>
    <w:rsid w:val="007D3165"/>
    <w:rsid w:val="007E1713"/>
    <w:rsid w:val="007E706D"/>
    <w:rsid w:val="007F4FC8"/>
    <w:rsid w:val="008049CB"/>
    <w:rsid w:val="0080718B"/>
    <w:rsid w:val="008127E2"/>
    <w:rsid w:val="0081362D"/>
    <w:rsid w:val="008179DF"/>
    <w:rsid w:val="00837270"/>
    <w:rsid w:val="0084784E"/>
    <w:rsid w:val="00850DC9"/>
    <w:rsid w:val="00853068"/>
    <w:rsid w:val="008660F3"/>
    <w:rsid w:val="008703FA"/>
    <w:rsid w:val="008743E2"/>
    <w:rsid w:val="008A511D"/>
    <w:rsid w:val="008A5882"/>
    <w:rsid w:val="008E6930"/>
    <w:rsid w:val="008F14D9"/>
    <w:rsid w:val="00902A78"/>
    <w:rsid w:val="00927CAC"/>
    <w:rsid w:val="00934C27"/>
    <w:rsid w:val="00937D74"/>
    <w:rsid w:val="00940638"/>
    <w:rsid w:val="00940DBD"/>
    <w:rsid w:val="00943180"/>
    <w:rsid w:val="0094458A"/>
    <w:rsid w:val="0094757C"/>
    <w:rsid w:val="00965725"/>
    <w:rsid w:val="00972A36"/>
    <w:rsid w:val="009B00E2"/>
    <w:rsid w:val="009D33BA"/>
    <w:rsid w:val="009D7535"/>
    <w:rsid w:val="009E5C24"/>
    <w:rsid w:val="009E761E"/>
    <w:rsid w:val="009F16BB"/>
    <w:rsid w:val="009F56F9"/>
    <w:rsid w:val="00A129D6"/>
    <w:rsid w:val="00A20007"/>
    <w:rsid w:val="00A21329"/>
    <w:rsid w:val="00A271EA"/>
    <w:rsid w:val="00A35175"/>
    <w:rsid w:val="00A40793"/>
    <w:rsid w:val="00A446EE"/>
    <w:rsid w:val="00A464D9"/>
    <w:rsid w:val="00A56CC1"/>
    <w:rsid w:val="00A61223"/>
    <w:rsid w:val="00A612C6"/>
    <w:rsid w:val="00A67069"/>
    <w:rsid w:val="00A7756B"/>
    <w:rsid w:val="00A7757B"/>
    <w:rsid w:val="00A80C9C"/>
    <w:rsid w:val="00A82169"/>
    <w:rsid w:val="00A82B2B"/>
    <w:rsid w:val="00A860D6"/>
    <w:rsid w:val="00AA35A3"/>
    <w:rsid w:val="00AA6B79"/>
    <w:rsid w:val="00AB0F96"/>
    <w:rsid w:val="00AB4A30"/>
    <w:rsid w:val="00AB685D"/>
    <w:rsid w:val="00AC1694"/>
    <w:rsid w:val="00AE4D80"/>
    <w:rsid w:val="00AE5F59"/>
    <w:rsid w:val="00AE60ED"/>
    <w:rsid w:val="00B06ECF"/>
    <w:rsid w:val="00B1500A"/>
    <w:rsid w:val="00B157C2"/>
    <w:rsid w:val="00B16E97"/>
    <w:rsid w:val="00B36348"/>
    <w:rsid w:val="00B53431"/>
    <w:rsid w:val="00B724E7"/>
    <w:rsid w:val="00B728FC"/>
    <w:rsid w:val="00B81FF5"/>
    <w:rsid w:val="00B96F72"/>
    <w:rsid w:val="00BA5BB1"/>
    <w:rsid w:val="00BA6D01"/>
    <w:rsid w:val="00BA7D4F"/>
    <w:rsid w:val="00BC0492"/>
    <w:rsid w:val="00BC42EA"/>
    <w:rsid w:val="00BD5DB8"/>
    <w:rsid w:val="00BE0CDA"/>
    <w:rsid w:val="00BE3316"/>
    <w:rsid w:val="00BE7E00"/>
    <w:rsid w:val="00C011EB"/>
    <w:rsid w:val="00C01C66"/>
    <w:rsid w:val="00C077D6"/>
    <w:rsid w:val="00C10763"/>
    <w:rsid w:val="00C1434A"/>
    <w:rsid w:val="00C32B48"/>
    <w:rsid w:val="00C3544C"/>
    <w:rsid w:val="00C35F4A"/>
    <w:rsid w:val="00C41428"/>
    <w:rsid w:val="00C42592"/>
    <w:rsid w:val="00C6202A"/>
    <w:rsid w:val="00C62FCE"/>
    <w:rsid w:val="00C63567"/>
    <w:rsid w:val="00C63E0B"/>
    <w:rsid w:val="00C71F19"/>
    <w:rsid w:val="00C77A24"/>
    <w:rsid w:val="00CA4BF2"/>
    <w:rsid w:val="00CB238B"/>
    <w:rsid w:val="00CB700F"/>
    <w:rsid w:val="00CC2E59"/>
    <w:rsid w:val="00CD2434"/>
    <w:rsid w:val="00D15F23"/>
    <w:rsid w:val="00D355E8"/>
    <w:rsid w:val="00D53FA0"/>
    <w:rsid w:val="00D64044"/>
    <w:rsid w:val="00D85BFB"/>
    <w:rsid w:val="00D87EFB"/>
    <w:rsid w:val="00DB588E"/>
    <w:rsid w:val="00DD23BA"/>
    <w:rsid w:val="00DD3581"/>
    <w:rsid w:val="00DD50AC"/>
    <w:rsid w:val="00DE185C"/>
    <w:rsid w:val="00DF11AF"/>
    <w:rsid w:val="00DF18C1"/>
    <w:rsid w:val="00DF3470"/>
    <w:rsid w:val="00DF5E24"/>
    <w:rsid w:val="00DF7C15"/>
    <w:rsid w:val="00E02A96"/>
    <w:rsid w:val="00E11430"/>
    <w:rsid w:val="00E2537C"/>
    <w:rsid w:val="00E42984"/>
    <w:rsid w:val="00E714C0"/>
    <w:rsid w:val="00E77514"/>
    <w:rsid w:val="00E96A5C"/>
    <w:rsid w:val="00EA0442"/>
    <w:rsid w:val="00EA70EC"/>
    <w:rsid w:val="00EB3995"/>
    <w:rsid w:val="00EB56DF"/>
    <w:rsid w:val="00EB6086"/>
    <w:rsid w:val="00EC7011"/>
    <w:rsid w:val="00ED20F6"/>
    <w:rsid w:val="00ED2E55"/>
    <w:rsid w:val="00ED6BD2"/>
    <w:rsid w:val="00EF198D"/>
    <w:rsid w:val="00EF2F88"/>
    <w:rsid w:val="00EF3BA3"/>
    <w:rsid w:val="00F044EC"/>
    <w:rsid w:val="00F07CAA"/>
    <w:rsid w:val="00F10AF6"/>
    <w:rsid w:val="00F21475"/>
    <w:rsid w:val="00F225E9"/>
    <w:rsid w:val="00F415F2"/>
    <w:rsid w:val="00F41A15"/>
    <w:rsid w:val="00F44787"/>
    <w:rsid w:val="00F537A5"/>
    <w:rsid w:val="00F56D0D"/>
    <w:rsid w:val="00F701F9"/>
    <w:rsid w:val="00F71C21"/>
    <w:rsid w:val="00F71CC9"/>
    <w:rsid w:val="00F71E41"/>
    <w:rsid w:val="00F86120"/>
    <w:rsid w:val="00F95473"/>
    <w:rsid w:val="00F96194"/>
    <w:rsid w:val="00FA0156"/>
    <w:rsid w:val="00FA01EC"/>
    <w:rsid w:val="00FB0BD7"/>
    <w:rsid w:val="00FC6AE9"/>
    <w:rsid w:val="00FD0237"/>
    <w:rsid w:val="00FD52C8"/>
    <w:rsid w:val="00FE283A"/>
    <w:rsid w:val="00FE4815"/>
    <w:rsid w:val="00FE6049"/>
    <w:rsid w:val="00FF7C2E"/>
    <w:rsid w:val="00FF7EC6"/>
    <w:rsid w:val="01010551"/>
    <w:rsid w:val="01074C13"/>
    <w:rsid w:val="010B7146"/>
    <w:rsid w:val="010F1AD8"/>
    <w:rsid w:val="01172A03"/>
    <w:rsid w:val="01174A7F"/>
    <w:rsid w:val="011A224F"/>
    <w:rsid w:val="011D2624"/>
    <w:rsid w:val="011F04D2"/>
    <w:rsid w:val="01266564"/>
    <w:rsid w:val="0132019A"/>
    <w:rsid w:val="013553D0"/>
    <w:rsid w:val="01457BCF"/>
    <w:rsid w:val="014F4893"/>
    <w:rsid w:val="01521C8D"/>
    <w:rsid w:val="01581590"/>
    <w:rsid w:val="01587514"/>
    <w:rsid w:val="015E0D27"/>
    <w:rsid w:val="01621B95"/>
    <w:rsid w:val="01703299"/>
    <w:rsid w:val="017B2F92"/>
    <w:rsid w:val="017D293B"/>
    <w:rsid w:val="01991DFB"/>
    <w:rsid w:val="019E59BA"/>
    <w:rsid w:val="019F2C19"/>
    <w:rsid w:val="01A276EA"/>
    <w:rsid w:val="01A77EF1"/>
    <w:rsid w:val="01AF01E7"/>
    <w:rsid w:val="01B25538"/>
    <w:rsid w:val="01C501FE"/>
    <w:rsid w:val="01D8057D"/>
    <w:rsid w:val="01D93B6E"/>
    <w:rsid w:val="01DD654B"/>
    <w:rsid w:val="01DF690F"/>
    <w:rsid w:val="01EB5D3D"/>
    <w:rsid w:val="01ED51FD"/>
    <w:rsid w:val="01F11150"/>
    <w:rsid w:val="01FB04EB"/>
    <w:rsid w:val="02104E40"/>
    <w:rsid w:val="02185422"/>
    <w:rsid w:val="02227F32"/>
    <w:rsid w:val="0223369D"/>
    <w:rsid w:val="023572AA"/>
    <w:rsid w:val="02370A74"/>
    <w:rsid w:val="02387300"/>
    <w:rsid w:val="023E21A6"/>
    <w:rsid w:val="024A54F6"/>
    <w:rsid w:val="024B60C0"/>
    <w:rsid w:val="025E7ED2"/>
    <w:rsid w:val="02696A4A"/>
    <w:rsid w:val="02767B92"/>
    <w:rsid w:val="027A02CD"/>
    <w:rsid w:val="02802069"/>
    <w:rsid w:val="02811C50"/>
    <w:rsid w:val="02822952"/>
    <w:rsid w:val="028C5698"/>
    <w:rsid w:val="029153CE"/>
    <w:rsid w:val="029543A8"/>
    <w:rsid w:val="029C6C4C"/>
    <w:rsid w:val="02AE528F"/>
    <w:rsid w:val="02C7497D"/>
    <w:rsid w:val="02D4635F"/>
    <w:rsid w:val="02DB4092"/>
    <w:rsid w:val="02E745A4"/>
    <w:rsid w:val="02EB1D82"/>
    <w:rsid w:val="02EB5488"/>
    <w:rsid w:val="02F10FD5"/>
    <w:rsid w:val="030C33A8"/>
    <w:rsid w:val="0316224B"/>
    <w:rsid w:val="0327070A"/>
    <w:rsid w:val="032B00B4"/>
    <w:rsid w:val="032B3A0E"/>
    <w:rsid w:val="03316B3C"/>
    <w:rsid w:val="03422379"/>
    <w:rsid w:val="034B4CE1"/>
    <w:rsid w:val="035B2B87"/>
    <w:rsid w:val="03610C48"/>
    <w:rsid w:val="03630D87"/>
    <w:rsid w:val="0371289F"/>
    <w:rsid w:val="03717787"/>
    <w:rsid w:val="037310CC"/>
    <w:rsid w:val="03783980"/>
    <w:rsid w:val="038372E1"/>
    <w:rsid w:val="03856FE9"/>
    <w:rsid w:val="03885B72"/>
    <w:rsid w:val="03930D6F"/>
    <w:rsid w:val="03941B37"/>
    <w:rsid w:val="03A35DF6"/>
    <w:rsid w:val="03AB09EC"/>
    <w:rsid w:val="03AC4ECB"/>
    <w:rsid w:val="03B361EB"/>
    <w:rsid w:val="03B406F8"/>
    <w:rsid w:val="03C1120E"/>
    <w:rsid w:val="03C52A65"/>
    <w:rsid w:val="03C87043"/>
    <w:rsid w:val="03D469D1"/>
    <w:rsid w:val="03DB267A"/>
    <w:rsid w:val="03E0652D"/>
    <w:rsid w:val="03F10434"/>
    <w:rsid w:val="04050331"/>
    <w:rsid w:val="040858EF"/>
    <w:rsid w:val="040B181D"/>
    <w:rsid w:val="040D5DB1"/>
    <w:rsid w:val="04206073"/>
    <w:rsid w:val="043F5114"/>
    <w:rsid w:val="04440A30"/>
    <w:rsid w:val="04495F6D"/>
    <w:rsid w:val="0450314B"/>
    <w:rsid w:val="045D1D96"/>
    <w:rsid w:val="045F3526"/>
    <w:rsid w:val="0460113B"/>
    <w:rsid w:val="04612647"/>
    <w:rsid w:val="046425EE"/>
    <w:rsid w:val="047B5B10"/>
    <w:rsid w:val="0485220D"/>
    <w:rsid w:val="04875F5A"/>
    <w:rsid w:val="048C52D9"/>
    <w:rsid w:val="04902111"/>
    <w:rsid w:val="04933551"/>
    <w:rsid w:val="049827DC"/>
    <w:rsid w:val="04A25279"/>
    <w:rsid w:val="04AF5EAE"/>
    <w:rsid w:val="04C4799B"/>
    <w:rsid w:val="04CC4230"/>
    <w:rsid w:val="04D6330D"/>
    <w:rsid w:val="04DF723D"/>
    <w:rsid w:val="04ED4D8C"/>
    <w:rsid w:val="04F10E85"/>
    <w:rsid w:val="04F12828"/>
    <w:rsid w:val="04F93857"/>
    <w:rsid w:val="05141484"/>
    <w:rsid w:val="052F723E"/>
    <w:rsid w:val="053464B3"/>
    <w:rsid w:val="05394357"/>
    <w:rsid w:val="05396264"/>
    <w:rsid w:val="053A75BD"/>
    <w:rsid w:val="054A00C9"/>
    <w:rsid w:val="055252F0"/>
    <w:rsid w:val="05556A4A"/>
    <w:rsid w:val="056A5E6A"/>
    <w:rsid w:val="056C278E"/>
    <w:rsid w:val="056D1C0B"/>
    <w:rsid w:val="056D3391"/>
    <w:rsid w:val="05705C9E"/>
    <w:rsid w:val="0584631F"/>
    <w:rsid w:val="05856FF3"/>
    <w:rsid w:val="059A1CFC"/>
    <w:rsid w:val="059B367B"/>
    <w:rsid w:val="059D487E"/>
    <w:rsid w:val="05A3796D"/>
    <w:rsid w:val="05AA2192"/>
    <w:rsid w:val="05BB3660"/>
    <w:rsid w:val="05C12198"/>
    <w:rsid w:val="05C334FA"/>
    <w:rsid w:val="05C80B80"/>
    <w:rsid w:val="05CE5270"/>
    <w:rsid w:val="05DB0F5C"/>
    <w:rsid w:val="05DE48B3"/>
    <w:rsid w:val="05E0751B"/>
    <w:rsid w:val="05F37C43"/>
    <w:rsid w:val="05F7405D"/>
    <w:rsid w:val="05F975F8"/>
    <w:rsid w:val="05FF5304"/>
    <w:rsid w:val="06016C1C"/>
    <w:rsid w:val="0603725B"/>
    <w:rsid w:val="06092193"/>
    <w:rsid w:val="060E1B99"/>
    <w:rsid w:val="06125BE9"/>
    <w:rsid w:val="062B25B3"/>
    <w:rsid w:val="064638FF"/>
    <w:rsid w:val="06503EDD"/>
    <w:rsid w:val="065C5050"/>
    <w:rsid w:val="066253AB"/>
    <w:rsid w:val="067E0EBC"/>
    <w:rsid w:val="067E34AD"/>
    <w:rsid w:val="0685363E"/>
    <w:rsid w:val="068B4806"/>
    <w:rsid w:val="06950F06"/>
    <w:rsid w:val="06A01657"/>
    <w:rsid w:val="06A80D9C"/>
    <w:rsid w:val="06B44B5F"/>
    <w:rsid w:val="06B778A2"/>
    <w:rsid w:val="06C270B5"/>
    <w:rsid w:val="06C872F3"/>
    <w:rsid w:val="06CA713B"/>
    <w:rsid w:val="06D335F8"/>
    <w:rsid w:val="06E42B38"/>
    <w:rsid w:val="06EE580B"/>
    <w:rsid w:val="06F47A4A"/>
    <w:rsid w:val="06F7318A"/>
    <w:rsid w:val="06F86F5E"/>
    <w:rsid w:val="06FD31BA"/>
    <w:rsid w:val="072C710F"/>
    <w:rsid w:val="07342561"/>
    <w:rsid w:val="07362EFC"/>
    <w:rsid w:val="07372CE0"/>
    <w:rsid w:val="073D4A68"/>
    <w:rsid w:val="07591F59"/>
    <w:rsid w:val="075D175A"/>
    <w:rsid w:val="075D4810"/>
    <w:rsid w:val="075E3FD0"/>
    <w:rsid w:val="07614445"/>
    <w:rsid w:val="07630435"/>
    <w:rsid w:val="077452BA"/>
    <w:rsid w:val="078944CF"/>
    <w:rsid w:val="07A24C32"/>
    <w:rsid w:val="07B24E09"/>
    <w:rsid w:val="07C214E0"/>
    <w:rsid w:val="07E74E9B"/>
    <w:rsid w:val="07E850FA"/>
    <w:rsid w:val="07F77F3B"/>
    <w:rsid w:val="07FB3F51"/>
    <w:rsid w:val="07FB711D"/>
    <w:rsid w:val="08085A2B"/>
    <w:rsid w:val="0809618F"/>
    <w:rsid w:val="08176946"/>
    <w:rsid w:val="081E23F2"/>
    <w:rsid w:val="081F489A"/>
    <w:rsid w:val="082059E3"/>
    <w:rsid w:val="08342457"/>
    <w:rsid w:val="08363D6A"/>
    <w:rsid w:val="08491446"/>
    <w:rsid w:val="08531CA1"/>
    <w:rsid w:val="0861236B"/>
    <w:rsid w:val="08632B85"/>
    <w:rsid w:val="08686232"/>
    <w:rsid w:val="0875597A"/>
    <w:rsid w:val="08787B97"/>
    <w:rsid w:val="08792957"/>
    <w:rsid w:val="08983324"/>
    <w:rsid w:val="089A3ED7"/>
    <w:rsid w:val="089F4DC3"/>
    <w:rsid w:val="08A143C3"/>
    <w:rsid w:val="08AF0FC4"/>
    <w:rsid w:val="08B30A3C"/>
    <w:rsid w:val="08B97457"/>
    <w:rsid w:val="08C01B61"/>
    <w:rsid w:val="08C43F67"/>
    <w:rsid w:val="08C45A0C"/>
    <w:rsid w:val="08C72724"/>
    <w:rsid w:val="08D2694A"/>
    <w:rsid w:val="08E96EDF"/>
    <w:rsid w:val="08F41517"/>
    <w:rsid w:val="090536BD"/>
    <w:rsid w:val="09066929"/>
    <w:rsid w:val="09180D81"/>
    <w:rsid w:val="09192C94"/>
    <w:rsid w:val="091E6157"/>
    <w:rsid w:val="091F05CF"/>
    <w:rsid w:val="09227977"/>
    <w:rsid w:val="092D4445"/>
    <w:rsid w:val="093C1086"/>
    <w:rsid w:val="09427B32"/>
    <w:rsid w:val="09443AC8"/>
    <w:rsid w:val="09451EAA"/>
    <w:rsid w:val="094736A5"/>
    <w:rsid w:val="09596B31"/>
    <w:rsid w:val="095A3DD5"/>
    <w:rsid w:val="096F5333"/>
    <w:rsid w:val="098113D3"/>
    <w:rsid w:val="0983182F"/>
    <w:rsid w:val="098501EF"/>
    <w:rsid w:val="09876665"/>
    <w:rsid w:val="09937924"/>
    <w:rsid w:val="09A84B40"/>
    <w:rsid w:val="09AB4534"/>
    <w:rsid w:val="09C56089"/>
    <w:rsid w:val="09D41776"/>
    <w:rsid w:val="09D83FD7"/>
    <w:rsid w:val="09F0394D"/>
    <w:rsid w:val="09FA2523"/>
    <w:rsid w:val="09FF6440"/>
    <w:rsid w:val="0A026787"/>
    <w:rsid w:val="0A0F7F03"/>
    <w:rsid w:val="0A116B8A"/>
    <w:rsid w:val="0A5D3163"/>
    <w:rsid w:val="0A78573A"/>
    <w:rsid w:val="0A87376B"/>
    <w:rsid w:val="0A8B35D1"/>
    <w:rsid w:val="0A8D7D9A"/>
    <w:rsid w:val="0A9F6C64"/>
    <w:rsid w:val="0AA07C87"/>
    <w:rsid w:val="0AB2140A"/>
    <w:rsid w:val="0AB63798"/>
    <w:rsid w:val="0ACC384F"/>
    <w:rsid w:val="0AD072A2"/>
    <w:rsid w:val="0AD400FF"/>
    <w:rsid w:val="0AD52AA5"/>
    <w:rsid w:val="0AE62BA5"/>
    <w:rsid w:val="0AE712B5"/>
    <w:rsid w:val="0AEF3BBD"/>
    <w:rsid w:val="0B067053"/>
    <w:rsid w:val="0B0B4099"/>
    <w:rsid w:val="0B0D656D"/>
    <w:rsid w:val="0B162042"/>
    <w:rsid w:val="0B201834"/>
    <w:rsid w:val="0B2965AA"/>
    <w:rsid w:val="0B2C4364"/>
    <w:rsid w:val="0B31066F"/>
    <w:rsid w:val="0B3643CE"/>
    <w:rsid w:val="0B4E7315"/>
    <w:rsid w:val="0B5F59A7"/>
    <w:rsid w:val="0B633A8B"/>
    <w:rsid w:val="0B690EE3"/>
    <w:rsid w:val="0B694142"/>
    <w:rsid w:val="0B69678C"/>
    <w:rsid w:val="0B6A3B46"/>
    <w:rsid w:val="0B711A48"/>
    <w:rsid w:val="0B784EE3"/>
    <w:rsid w:val="0B836106"/>
    <w:rsid w:val="0B861876"/>
    <w:rsid w:val="0B974B62"/>
    <w:rsid w:val="0BA04DE4"/>
    <w:rsid w:val="0BBD30E4"/>
    <w:rsid w:val="0BC42E20"/>
    <w:rsid w:val="0BD369C4"/>
    <w:rsid w:val="0BD74A56"/>
    <w:rsid w:val="0BDF1A9B"/>
    <w:rsid w:val="0BE048B8"/>
    <w:rsid w:val="0BE328CA"/>
    <w:rsid w:val="0BE667FA"/>
    <w:rsid w:val="0BEE2512"/>
    <w:rsid w:val="0BF33DBE"/>
    <w:rsid w:val="0BFB2AC2"/>
    <w:rsid w:val="0BFC710E"/>
    <w:rsid w:val="0BFC7FE7"/>
    <w:rsid w:val="0C045EF7"/>
    <w:rsid w:val="0C0701B3"/>
    <w:rsid w:val="0C0E0870"/>
    <w:rsid w:val="0C17768C"/>
    <w:rsid w:val="0C1E0960"/>
    <w:rsid w:val="0C270D27"/>
    <w:rsid w:val="0C2C1E30"/>
    <w:rsid w:val="0C2C5916"/>
    <w:rsid w:val="0C3C3983"/>
    <w:rsid w:val="0C3F5A94"/>
    <w:rsid w:val="0C4E17DC"/>
    <w:rsid w:val="0C515B3C"/>
    <w:rsid w:val="0C63636E"/>
    <w:rsid w:val="0C8238F5"/>
    <w:rsid w:val="0C863A0F"/>
    <w:rsid w:val="0C8C4AF6"/>
    <w:rsid w:val="0C9020AE"/>
    <w:rsid w:val="0CB03F52"/>
    <w:rsid w:val="0CC64069"/>
    <w:rsid w:val="0CCA7CE9"/>
    <w:rsid w:val="0CCB284F"/>
    <w:rsid w:val="0CD53056"/>
    <w:rsid w:val="0CD811B3"/>
    <w:rsid w:val="0CEB43FB"/>
    <w:rsid w:val="0D000D6D"/>
    <w:rsid w:val="0D051B33"/>
    <w:rsid w:val="0D2224F9"/>
    <w:rsid w:val="0D402CC7"/>
    <w:rsid w:val="0D435DE3"/>
    <w:rsid w:val="0D475D34"/>
    <w:rsid w:val="0D494A00"/>
    <w:rsid w:val="0D49663A"/>
    <w:rsid w:val="0D4F3FF5"/>
    <w:rsid w:val="0D673F02"/>
    <w:rsid w:val="0D724D77"/>
    <w:rsid w:val="0D7A4F50"/>
    <w:rsid w:val="0D841562"/>
    <w:rsid w:val="0D857C3A"/>
    <w:rsid w:val="0D877BB2"/>
    <w:rsid w:val="0D9E30A0"/>
    <w:rsid w:val="0DA34B36"/>
    <w:rsid w:val="0DA67905"/>
    <w:rsid w:val="0DAE3D66"/>
    <w:rsid w:val="0DAF00EF"/>
    <w:rsid w:val="0DBC2EC7"/>
    <w:rsid w:val="0DC60BC6"/>
    <w:rsid w:val="0DD353CB"/>
    <w:rsid w:val="0DDC30E6"/>
    <w:rsid w:val="0DDD145E"/>
    <w:rsid w:val="0DDE34CC"/>
    <w:rsid w:val="0DE46A43"/>
    <w:rsid w:val="0DEA60AB"/>
    <w:rsid w:val="0DED4509"/>
    <w:rsid w:val="0DEE5E80"/>
    <w:rsid w:val="0DF017A6"/>
    <w:rsid w:val="0DF06F84"/>
    <w:rsid w:val="0DF35B9B"/>
    <w:rsid w:val="0E0F0EFA"/>
    <w:rsid w:val="0E120345"/>
    <w:rsid w:val="0E125035"/>
    <w:rsid w:val="0E2277CB"/>
    <w:rsid w:val="0E25294C"/>
    <w:rsid w:val="0E2E0C1A"/>
    <w:rsid w:val="0E2F7C00"/>
    <w:rsid w:val="0E4038D5"/>
    <w:rsid w:val="0E4D07D5"/>
    <w:rsid w:val="0E5450F6"/>
    <w:rsid w:val="0E5B3BF0"/>
    <w:rsid w:val="0E637909"/>
    <w:rsid w:val="0E706216"/>
    <w:rsid w:val="0E7C525B"/>
    <w:rsid w:val="0E7E60FE"/>
    <w:rsid w:val="0E880933"/>
    <w:rsid w:val="0E881D5C"/>
    <w:rsid w:val="0E8917B6"/>
    <w:rsid w:val="0E8A4645"/>
    <w:rsid w:val="0E8B108F"/>
    <w:rsid w:val="0E905C15"/>
    <w:rsid w:val="0E943186"/>
    <w:rsid w:val="0E964D7C"/>
    <w:rsid w:val="0EA00832"/>
    <w:rsid w:val="0EA127F1"/>
    <w:rsid w:val="0EB9744D"/>
    <w:rsid w:val="0EBC45EF"/>
    <w:rsid w:val="0EC0127A"/>
    <w:rsid w:val="0EC04C2D"/>
    <w:rsid w:val="0EC41180"/>
    <w:rsid w:val="0EC816AB"/>
    <w:rsid w:val="0ECA0196"/>
    <w:rsid w:val="0ECB39D1"/>
    <w:rsid w:val="0ED068AD"/>
    <w:rsid w:val="0ED778BA"/>
    <w:rsid w:val="0EE228A3"/>
    <w:rsid w:val="0EF936C5"/>
    <w:rsid w:val="0F0119D8"/>
    <w:rsid w:val="0F1538BD"/>
    <w:rsid w:val="0F2118D0"/>
    <w:rsid w:val="0F212FDF"/>
    <w:rsid w:val="0F271E00"/>
    <w:rsid w:val="0F2A1AE2"/>
    <w:rsid w:val="0F361AF3"/>
    <w:rsid w:val="0F41124E"/>
    <w:rsid w:val="0F46046F"/>
    <w:rsid w:val="0F483E48"/>
    <w:rsid w:val="0F5B1ECF"/>
    <w:rsid w:val="0F70451D"/>
    <w:rsid w:val="0F71139E"/>
    <w:rsid w:val="0F757504"/>
    <w:rsid w:val="0F765CDA"/>
    <w:rsid w:val="0F7B6B54"/>
    <w:rsid w:val="0F7F1151"/>
    <w:rsid w:val="0F84395A"/>
    <w:rsid w:val="0F862E98"/>
    <w:rsid w:val="0FA00A85"/>
    <w:rsid w:val="0FA03D02"/>
    <w:rsid w:val="0FA46077"/>
    <w:rsid w:val="0FB6395F"/>
    <w:rsid w:val="0FBB77D2"/>
    <w:rsid w:val="0FC00684"/>
    <w:rsid w:val="0FCD1D6A"/>
    <w:rsid w:val="0FD0534A"/>
    <w:rsid w:val="0FE05631"/>
    <w:rsid w:val="0FE41084"/>
    <w:rsid w:val="0FE56AF6"/>
    <w:rsid w:val="0FE805C6"/>
    <w:rsid w:val="0FF371E5"/>
    <w:rsid w:val="0FF56194"/>
    <w:rsid w:val="100872A4"/>
    <w:rsid w:val="1010532D"/>
    <w:rsid w:val="10135715"/>
    <w:rsid w:val="101C492A"/>
    <w:rsid w:val="102C3F31"/>
    <w:rsid w:val="102C638C"/>
    <w:rsid w:val="102F4635"/>
    <w:rsid w:val="10360209"/>
    <w:rsid w:val="103E0EDE"/>
    <w:rsid w:val="103E5ED8"/>
    <w:rsid w:val="10424EDA"/>
    <w:rsid w:val="1049663B"/>
    <w:rsid w:val="104E3B20"/>
    <w:rsid w:val="10506200"/>
    <w:rsid w:val="10585332"/>
    <w:rsid w:val="105C116E"/>
    <w:rsid w:val="10663F83"/>
    <w:rsid w:val="10762190"/>
    <w:rsid w:val="107D7F1B"/>
    <w:rsid w:val="10801D2B"/>
    <w:rsid w:val="108049DA"/>
    <w:rsid w:val="108239CC"/>
    <w:rsid w:val="108953E6"/>
    <w:rsid w:val="109669EA"/>
    <w:rsid w:val="109B3F9B"/>
    <w:rsid w:val="109C6E7D"/>
    <w:rsid w:val="109F0FFA"/>
    <w:rsid w:val="10B14BA6"/>
    <w:rsid w:val="10B52A82"/>
    <w:rsid w:val="10BA6606"/>
    <w:rsid w:val="10BF6E52"/>
    <w:rsid w:val="10C92533"/>
    <w:rsid w:val="10CA1840"/>
    <w:rsid w:val="10CD53F0"/>
    <w:rsid w:val="10CE4270"/>
    <w:rsid w:val="10E14FB0"/>
    <w:rsid w:val="11003E85"/>
    <w:rsid w:val="110F326B"/>
    <w:rsid w:val="111D39A2"/>
    <w:rsid w:val="111D7E14"/>
    <w:rsid w:val="11325410"/>
    <w:rsid w:val="113F277F"/>
    <w:rsid w:val="11463A7A"/>
    <w:rsid w:val="11532B7F"/>
    <w:rsid w:val="1159025B"/>
    <w:rsid w:val="11672856"/>
    <w:rsid w:val="11744F2B"/>
    <w:rsid w:val="117F43E0"/>
    <w:rsid w:val="118026D1"/>
    <w:rsid w:val="118179DA"/>
    <w:rsid w:val="1190799A"/>
    <w:rsid w:val="119B57A1"/>
    <w:rsid w:val="11B72DAD"/>
    <w:rsid w:val="11BB125C"/>
    <w:rsid w:val="11C13B26"/>
    <w:rsid w:val="11C20196"/>
    <w:rsid w:val="11CA186C"/>
    <w:rsid w:val="11CC1613"/>
    <w:rsid w:val="11D27E95"/>
    <w:rsid w:val="11DD461F"/>
    <w:rsid w:val="11DF30C9"/>
    <w:rsid w:val="11E33617"/>
    <w:rsid w:val="11E50954"/>
    <w:rsid w:val="11E64021"/>
    <w:rsid w:val="120355DF"/>
    <w:rsid w:val="120623AA"/>
    <w:rsid w:val="12087BCF"/>
    <w:rsid w:val="12090538"/>
    <w:rsid w:val="120D17A3"/>
    <w:rsid w:val="121413EE"/>
    <w:rsid w:val="12170C15"/>
    <w:rsid w:val="121F70A5"/>
    <w:rsid w:val="123D1226"/>
    <w:rsid w:val="12451CF4"/>
    <w:rsid w:val="124A47E3"/>
    <w:rsid w:val="124B1599"/>
    <w:rsid w:val="126613E9"/>
    <w:rsid w:val="12666A46"/>
    <w:rsid w:val="12865631"/>
    <w:rsid w:val="128D5A4C"/>
    <w:rsid w:val="12A464D5"/>
    <w:rsid w:val="12A5408E"/>
    <w:rsid w:val="12B62C62"/>
    <w:rsid w:val="12BD7F4B"/>
    <w:rsid w:val="12C422AB"/>
    <w:rsid w:val="12D510D5"/>
    <w:rsid w:val="12D828DB"/>
    <w:rsid w:val="12DA0CB2"/>
    <w:rsid w:val="12DD1CFF"/>
    <w:rsid w:val="12E7730B"/>
    <w:rsid w:val="12F26485"/>
    <w:rsid w:val="12F73C48"/>
    <w:rsid w:val="12F900E5"/>
    <w:rsid w:val="12FB3F33"/>
    <w:rsid w:val="13046A8F"/>
    <w:rsid w:val="130C045D"/>
    <w:rsid w:val="13176C5B"/>
    <w:rsid w:val="13176FDC"/>
    <w:rsid w:val="131B672B"/>
    <w:rsid w:val="131D3FED"/>
    <w:rsid w:val="13263F4B"/>
    <w:rsid w:val="132744F9"/>
    <w:rsid w:val="132B028B"/>
    <w:rsid w:val="135066C3"/>
    <w:rsid w:val="13541C64"/>
    <w:rsid w:val="135C1FC0"/>
    <w:rsid w:val="13631E88"/>
    <w:rsid w:val="136E00F7"/>
    <w:rsid w:val="137959D2"/>
    <w:rsid w:val="1389413E"/>
    <w:rsid w:val="138A48F9"/>
    <w:rsid w:val="13B23C47"/>
    <w:rsid w:val="13BC2E0C"/>
    <w:rsid w:val="13CD64A6"/>
    <w:rsid w:val="13D41328"/>
    <w:rsid w:val="13DB57DE"/>
    <w:rsid w:val="13ED3796"/>
    <w:rsid w:val="13EE3A48"/>
    <w:rsid w:val="13EF6C5A"/>
    <w:rsid w:val="13F26EEF"/>
    <w:rsid w:val="140507E9"/>
    <w:rsid w:val="14170E9C"/>
    <w:rsid w:val="14192869"/>
    <w:rsid w:val="141B6FAE"/>
    <w:rsid w:val="141C7119"/>
    <w:rsid w:val="14232C2E"/>
    <w:rsid w:val="143408E4"/>
    <w:rsid w:val="144025E2"/>
    <w:rsid w:val="1459412F"/>
    <w:rsid w:val="145A74AE"/>
    <w:rsid w:val="14632545"/>
    <w:rsid w:val="146C7223"/>
    <w:rsid w:val="146C7D4F"/>
    <w:rsid w:val="14766494"/>
    <w:rsid w:val="149E4CD4"/>
    <w:rsid w:val="14A23A04"/>
    <w:rsid w:val="14A55B9D"/>
    <w:rsid w:val="14A63F6D"/>
    <w:rsid w:val="14B12B82"/>
    <w:rsid w:val="14B77582"/>
    <w:rsid w:val="14BD1496"/>
    <w:rsid w:val="14C60897"/>
    <w:rsid w:val="14C73686"/>
    <w:rsid w:val="14CA542F"/>
    <w:rsid w:val="14D907B9"/>
    <w:rsid w:val="14E40C32"/>
    <w:rsid w:val="14F2059D"/>
    <w:rsid w:val="14F640F1"/>
    <w:rsid w:val="150040A6"/>
    <w:rsid w:val="1503166D"/>
    <w:rsid w:val="150D7FCA"/>
    <w:rsid w:val="15121D0E"/>
    <w:rsid w:val="15211DA6"/>
    <w:rsid w:val="1523615F"/>
    <w:rsid w:val="15262782"/>
    <w:rsid w:val="15277504"/>
    <w:rsid w:val="152D6299"/>
    <w:rsid w:val="1536195E"/>
    <w:rsid w:val="15442A28"/>
    <w:rsid w:val="155E0542"/>
    <w:rsid w:val="15640F4A"/>
    <w:rsid w:val="1565704A"/>
    <w:rsid w:val="15745E94"/>
    <w:rsid w:val="157D4738"/>
    <w:rsid w:val="15913BFF"/>
    <w:rsid w:val="15992BEB"/>
    <w:rsid w:val="15B160FE"/>
    <w:rsid w:val="15B96DE3"/>
    <w:rsid w:val="15C004CF"/>
    <w:rsid w:val="15D30F40"/>
    <w:rsid w:val="15D554DA"/>
    <w:rsid w:val="15D62207"/>
    <w:rsid w:val="15DC292A"/>
    <w:rsid w:val="15E020DC"/>
    <w:rsid w:val="15E04CA5"/>
    <w:rsid w:val="15E50ECA"/>
    <w:rsid w:val="15FC7728"/>
    <w:rsid w:val="16016122"/>
    <w:rsid w:val="160453B5"/>
    <w:rsid w:val="160573F6"/>
    <w:rsid w:val="160725E6"/>
    <w:rsid w:val="160B5609"/>
    <w:rsid w:val="160B75FE"/>
    <w:rsid w:val="160E0D0F"/>
    <w:rsid w:val="16171F13"/>
    <w:rsid w:val="1620368D"/>
    <w:rsid w:val="16256A18"/>
    <w:rsid w:val="162A0A98"/>
    <w:rsid w:val="16301623"/>
    <w:rsid w:val="163360DA"/>
    <w:rsid w:val="16406E52"/>
    <w:rsid w:val="16542D6D"/>
    <w:rsid w:val="165740D5"/>
    <w:rsid w:val="165C3664"/>
    <w:rsid w:val="16663DB9"/>
    <w:rsid w:val="167D034B"/>
    <w:rsid w:val="1682560D"/>
    <w:rsid w:val="1683568D"/>
    <w:rsid w:val="1685405E"/>
    <w:rsid w:val="169F16A6"/>
    <w:rsid w:val="16A11EDF"/>
    <w:rsid w:val="16AE3FD8"/>
    <w:rsid w:val="16C11EA2"/>
    <w:rsid w:val="16C51CC7"/>
    <w:rsid w:val="16C8282D"/>
    <w:rsid w:val="16F37A6A"/>
    <w:rsid w:val="16F41A35"/>
    <w:rsid w:val="16FD4035"/>
    <w:rsid w:val="17112BC7"/>
    <w:rsid w:val="171B1A4B"/>
    <w:rsid w:val="171B418A"/>
    <w:rsid w:val="17315AA4"/>
    <w:rsid w:val="173249A2"/>
    <w:rsid w:val="173961A4"/>
    <w:rsid w:val="173B5D28"/>
    <w:rsid w:val="173C0D11"/>
    <w:rsid w:val="17451C21"/>
    <w:rsid w:val="17606E7A"/>
    <w:rsid w:val="1765079C"/>
    <w:rsid w:val="176A6F7C"/>
    <w:rsid w:val="1771229B"/>
    <w:rsid w:val="17755E42"/>
    <w:rsid w:val="17765614"/>
    <w:rsid w:val="17782CF3"/>
    <w:rsid w:val="17852E18"/>
    <w:rsid w:val="178921C3"/>
    <w:rsid w:val="178F72C7"/>
    <w:rsid w:val="17901A33"/>
    <w:rsid w:val="17A63036"/>
    <w:rsid w:val="17B005F5"/>
    <w:rsid w:val="17B357C4"/>
    <w:rsid w:val="17B46B4A"/>
    <w:rsid w:val="17B708FE"/>
    <w:rsid w:val="17C201A2"/>
    <w:rsid w:val="17C256B6"/>
    <w:rsid w:val="17D51553"/>
    <w:rsid w:val="17D74149"/>
    <w:rsid w:val="17E71C6F"/>
    <w:rsid w:val="17EF69B5"/>
    <w:rsid w:val="17F372E7"/>
    <w:rsid w:val="18046C97"/>
    <w:rsid w:val="180C70B9"/>
    <w:rsid w:val="18184E41"/>
    <w:rsid w:val="18186149"/>
    <w:rsid w:val="181C2344"/>
    <w:rsid w:val="182561C2"/>
    <w:rsid w:val="18283020"/>
    <w:rsid w:val="18337762"/>
    <w:rsid w:val="18351DDC"/>
    <w:rsid w:val="183B7ABA"/>
    <w:rsid w:val="184D13AA"/>
    <w:rsid w:val="186C69E2"/>
    <w:rsid w:val="18797804"/>
    <w:rsid w:val="18830B46"/>
    <w:rsid w:val="1883705A"/>
    <w:rsid w:val="188C7871"/>
    <w:rsid w:val="189E4150"/>
    <w:rsid w:val="18A377EA"/>
    <w:rsid w:val="18A60874"/>
    <w:rsid w:val="18BC70FF"/>
    <w:rsid w:val="18CA1C08"/>
    <w:rsid w:val="18D455C7"/>
    <w:rsid w:val="18D65A88"/>
    <w:rsid w:val="18E6496C"/>
    <w:rsid w:val="18E86FD6"/>
    <w:rsid w:val="18F02FC3"/>
    <w:rsid w:val="18F15303"/>
    <w:rsid w:val="190134FE"/>
    <w:rsid w:val="19021B7A"/>
    <w:rsid w:val="19051408"/>
    <w:rsid w:val="190C1A76"/>
    <w:rsid w:val="1914139E"/>
    <w:rsid w:val="191B76C6"/>
    <w:rsid w:val="19221189"/>
    <w:rsid w:val="19246F5B"/>
    <w:rsid w:val="192B4276"/>
    <w:rsid w:val="19315993"/>
    <w:rsid w:val="1933449A"/>
    <w:rsid w:val="193363D0"/>
    <w:rsid w:val="19382FE4"/>
    <w:rsid w:val="19437C42"/>
    <w:rsid w:val="19534740"/>
    <w:rsid w:val="1958570F"/>
    <w:rsid w:val="195A093D"/>
    <w:rsid w:val="195D7946"/>
    <w:rsid w:val="195E1971"/>
    <w:rsid w:val="19687FCC"/>
    <w:rsid w:val="196A2E0E"/>
    <w:rsid w:val="19781054"/>
    <w:rsid w:val="1981356C"/>
    <w:rsid w:val="198421CF"/>
    <w:rsid w:val="19850C7A"/>
    <w:rsid w:val="19A41FA3"/>
    <w:rsid w:val="19A90B8D"/>
    <w:rsid w:val="19B039E5"/>
    <w:rsid w:val="19B274F3"/>
    <w:rsid w:val="19B73E84"/>
    <w:rsid w:val="19BB4B07"/>
    <w:rsid w:val="19C74349"/>
    <w:rsid w:val="19CD3FE6"/>
    <w:rsid w:val="19DA58D2"/>
    <w:rsid w:val="19E15687"/>
    <w:rsid w:val="19E26A0E"/>
    <w:rsid w:val="19EC2802"/>
    <w:rsid w:val="19F430A6"/>
    <w:rsid w:val="19F97DFD"/>
    <w:rsid w:val="19FB01A9"/>
    <w:rsid w:val="19FF09FE"/>
    <w:rsid w:val="1A080316"/>
    <w:rsid w:val="1A105795"/>
    <w:rsid w:val="1A13513F"/>
    <w:rsid w:val="1A2E4BEE"/>
    <w:rsid w:val="1A2F3E20"/>
    <w:rsid w:val="1A3603D7"/>
    <w:rsid w:val="1A465DFA"/>
    <w:rsid w:val="1A553AF0"/>
    <w:rsid w:val="1A59596F"/>
    <w:rsid w:val="1A6315A8"/>
    <w:rsid w:val="1A63700A"/>
    <w:rsid w:val="1A666EF9"/>
    <w:rsid w:val="1A6E5F85"/>
    <w:rsid w:val="1A793698"/>
    <w:rsid w:val="1A9418C4"/>
    <w:rsid w:val="1AA27C10"/>
    <w:rsid w:val="1AAB13C1"/>
    <w:rsid w:val="1AAB47F3"/>
    <w:rsid w:val="1ACC4A5A"/>
    <w:rsid w:val="1ADC042D"/>
    <w:rsid w:val="1AFC1451"/>
    <w:rsid w:val="1B0A6A06"/>
    <w:rsid w:val="1B0F3471"/>
    <w:rsid w:val="1B1219C5"/>
    <w:rsid w:val="1B18567B"/>
    <w:rsid w:val="1B223CC2"/>
    <w:rsid w:val="1B2331AE"/>
    <w:rsid w:val="1B30786C"/>
    <w:rsid w:val="1B4425FE"/>
    <w:rsid w:val="1B5C5A42"/>
    <w:rsid w:val="1B711BB3"/>
    <w:rsid w:val="1B724FAE"/>
    <w:rsid w:val="1B775075"/>
    <w:rsid w:val="1B7C77EF"/>
    <w:rsid w:val="1B9168E6"/>
    <w:rsid w:val="1B995C5B"/>
    <w:rsid w:val="1BB6762C"/>
    <w:rsid w:val="1BC47DD2"/>
    <w:rsid w:val="1BC972C0"/>
    <w:rsid w:val="1BCF609F"/>
    <w:rsid w:val="1BD01CD5"/>
    <w:rsid w:val="1BD90516"/>
    <w:rsid w:val="1BE933E9"/>
    <w:rsid w:val="1BF3045D"/>
    <w:rsid w:val="1BF82371"/>
    <w:rsid w:val="1BFD6F15"/>
    <w:rsid w:val="1BFF1B15"/>
    <w:rsid w:val="1C001F3E"/>
    <w:rsid w:val="1C1F1E86"/>
    <w:rsid w:val="1C20490B"/>
    <w:rsid w:val="1C3271B2"/>
    <w:rsid w:val="1C3546E9"/>
    <w:rsid w:val="1C403D9E"/>
    <w:rsid w:val="1C4079AA"/>
    <w:rsid w:val="1C534F29"/>
    <w:rsid w:val="1C5D5D7F"/>
    <w:rsid w:val="1C5E4794"/>
    <w:rsid w:val="1C625E29"/>
    <w:rsid w:val="1C68785E"/>
    <w:rsid w:val="1C6B4666"/>
    <w:rsid w:val="1C6C6D5D"/>
    <w:rsid w:val="1C6E4BB9"/>
    <w:rsid w:val="1C825F8A"/>
    <w:rsid w:val="1C8D59F5"/>
    <w:rsid w:val="1C8E3BD7"/>
    <w:rsid w:val="1C8F39ED"/>
    <w:rsid w:val="1CA3126C"/>
    <w:rsid w:val="1CBF2A05"/>
    <w:rsid w:val="1CD216DC"/>
    <w:rsid w:val="1CD278D4"/>
    <w:rsid w:val="1CDE195E"/>
    <w:rsid w:val="1CDF4A11"/>
    <w:rsid w:val="1D0516E1"/>
    <w:rsid w:val="1D0F038C"/>
    <w:rsid w:val="1D392D75"/>
    <w:rsid w:val="1D4A7289"/>
    <w:rsid w:val="1D4C0F48"/>
    <w:rsid w:val="1D4F4BAA"/>
    <w:rsid w:val="1D526C2C"/>
    <w:rsid w:val="1D531A04"/>
    <w:rsid w:val="1D577D2E"/>
    <w:rsid w:val="1D5D3384"/>
    <w:rsid w:val="1D621455"/>
    <w:rsid w:val="1D70196F"/>
    <w:rsid w:val="1D791BDB"/>
    <w:rsid w:val="1D92745B"/>
    <w:rsid w:val="1D927D66"/>
    <w:rsid w:val="1DA64FC2"/>
    <w:rsid w:val="1DB91EB7"/>
    <w:rsid w:val="1DBF2F11"/>
    <w:rsid w:val="1DD57C35"/>
    <w:rsid w:val="1DE03781"/>
    <w:rsid w:val="1DE51545"/>
    <w:rsid w:val="1DED6D0F"/>
    <w:rsid w:val="1DF742D2"/>
    <w:rsid w:val="1DFC3761"/>
    <w:rsid w:val="1E0167E0"/>
    <w:rsid w:val="1E0228C9"/>
    <w:rsid w:val="1E03367C"/>
    <w:rsid w:val="1E0741D4"/>
    <w:rsid w:val="1E0D3740"/>
    <w:rsid w:val="1E0F0D17"/>
    <w:rsid w:val="1E160ADD"/>
    <w:rsid w:val="1E195143"/>
    <w:rsid w:val="1E1964DD"/>
    <w:rsid w:val="1E2540A7"/>
    <w:rsid w:val="1E263AB2"/>
    <w:rsid w:val="1E316E1F"/>
    <w:rsid w:val="1E5938A0"/>
    <w:rsid w:val="1E64201D"/>
    <w:rsid w:val="1E654226"/>
    <w:rsid w:val="1E6F617E"/>
    <w:rsid w:val="1E715423"/>
    <w:rsid w:val="1E754444"/>
    <w:rsid w:val="1E791917"/>
    <w:rsid w:val="1E7C0CA5"/>
    <w:rsid w:val="1E7E12E4"/>
    <w:rsid w:val="1E8D4F6D"/>
    <w:rsid w:val="1E904199"/>
    <w:rsid w:val="1E914FAD"/>
    <w:rsid w:val="1E987B2F"/>
    <w:rsid w:val="1EA22302"/>
    <w:rsid w:val="1EB16325"/>
    <w:rsid w:val="1EB44D55"/>
    <w:rsid w:val="1EB5144F"/>
    <w:rsid w:val="1EB677A2"/>
    <w:rsid w:val="1EB90471"/>
    <w:rsid w:val="1EC109D3"/>
    <w:rsid w:val="1ED868EC"/>
    <w:rsid w:val="1EDE7C64"/>
    <w:rsid w:val="1EE30827"/>
    <w:rsid w:val="1EEF08C6"/>
    <w:rsid w:val="1F0013CE"/>
    <w:rsid w:val="1F006643"/>
    <w:rsid w:val="1F076DE7"/>
    <w:rsid w:val="1F081E97"/>
    <w:rsid w:val="1F0D776D"/>
    <w:rsid w:val="1F12548B"/>
    <w:rsid w:val="1F1A109C"/>
    <w:rsid w:val="1F221BEE"/>
    <w:rsid w:val="1F233145"/>
    <w:rsid w:val="1F2812D2"/>
    <w:rsid w:val="1F2D6017"/>
    <w:rsid w:val="1F364DB6"/>
    <w:rsid w:val="1F4C7497"/>
    <w:rsid w:val="1F4D244B"/>
    <w:rsid w:val="1F5349F1"/>
    <w:rsid w:val="1F5D5AF6"/>
    <w:rsid w:val="1F6238E1"/>
    <w:rsid w:val="1F641670"/>
    <w:rsid w:val="1F646768"/>
    <w:rsid w:val="1F766E54"/>
    <w:rsid w:val="1F7D1BBC"/>
    <w:rsid w:val="1F7E4D96"/>
    <w:rsid w:val="1F820773"/>
    <w:rsid w:val="1F826723"/>
    <w:rsid w:val="1F9555B6"/>
    <w:rsid w:val="1FA17B14"/>
    <w:rsid w:val="1FA425F3"/>
    <w:rsid w:val="1FAB4AFC"/>
    <w:rsid w:val="1FC4026A"/>
    <w:rsid w:val="1FC4784B"/>
    <w:rsid w:val="1FCF1E36"/>
    <w:rsid w:val="1FEC1933"/>
    <w:rsid w:val="1FF52CDD"/>
    <w:rsid w:val="1FFB4C5A"/>
    <w:rsid w:val="1FFC3FAC"/>
    <w:rsid w:val="1FFE44A5"/>
    <w:rsid w:val="201737F8"/>
    <w:rsid w:val="201804B9"/>
    <w:rsid w:val="2019279F"/>
    <w:rsid w:val="203D1CF7"/>
    <w:rsid w:val="204F2335"/>
    <w:rsid w:val="20592B28"/>
    <w:rsid w:val="20593B9C"/>
    <w:rsid w:val="205D76E5"/>
    <w:rsid w:val="206440DF"/>
    <w:rsid w:val="2074722D"/>
    <w:rsid w:val="20783911"/>
    <w:rsid w:val="207A6BA3"/>
    <w:rsid w:val="208671FD"/>
    <w:rsid w:val="20950E00"/>
    <w:rsid w:val="209537EE"/>
    <w:rsid w:val="209B7088"/>
    <w:rsid w:val="20B107D5"/>
    <w:rsid w:val="20BC532D"/>
    <w:rsid w:val="20C112B1"/>
    <w:rsid w:val="20C64689"/>
    <w:rsid w:val="20C80C9A"/>
    <w:rsid w:val="20CA3197"/>
    <w:rsid w:val="20CA7F99"/>
    <w:rsid w:val="20D3029D"/>
    <w:rsid w:val="20DB1961"/>
    <w:rsid w:val="20DC69A7"/>
    <w:rsid w:val="20DE247B"/>
    <w:rsid w:val="20E445F2"/>
    <w:rsid w:val="20FF73BB"/>
    <w:rsid w:val="2101234C"/>
    <w:rsid w:val="210A52E4"/>
    <w:rsid w:val="210C6858"/>
    <w:rsid w:val="211A0D5B"/>
    <w:rsid w:val="212474DB"/>
    <w:rsid w:val="212843C7"/>
    <w:rsid w:val="212E0A6D"/>
    <w:rsid w:val="21360471"/>
    <w:rsid w:val="213E3291"/>
    <w:rsid w:val="214836F6"/>
    <w:rsid w:val="21483983"/>
    <w:rsid w:val="21484295"/>
    <w:rsid w:val="215239C3"/>
    <w:rsid w:val="21545692"/>
    <w:rsid w:val="2158301B"/>
    <w:rsid w:val="21620CDF"/>
    <w:rsid w:val="2164125E"/>
    <w:rsid w:val="21675C1D"/>
    <w:rsid w:val="216C5789"/>
    <w:rsid w:val="21730376"/>
    <w:rsid w:val="219178FC"/>
    <w:rsid w:val="21996556"/>
    <w:rsid w:val="21A87888"/>
    <w:rsid w:val="21AF62F6"/>
    <w:rsid w:val="21B15B40"/>
    <w:rsid w:val="21BC4049"/>
    <w:rsid w:val="21BD0163"/>
    <w:rsid w:val="21C14631"/>
    <w:rsid w:val="21C66507"/>
    <w:rsid w:val="21C74900"/>
    <w:rsid w:val="21DC0D9D"/>
    <w:rsid w:val="21DC6E58"/>
    <w:rsid w:val="21F050E2"/>
    <w:rsid w:val="21F05E9E"/>
    <w:rsid w:val="21F4496F"/>
    <w:rsid w:val="21F52354"/>
    <w:rsid w:val="21F53786"/>
    <w:rsid w:val="21F92EE4"/>
    <w:rsid w:val="21FC62FB"/>
    <w:rsid w:val="220E17FB"/>
    <w:rsid w:val="22107F79"/>
    <w:rsid w:val="22292AE9"/>
    <w:rsid w:val="22294C15"/>
    <w:rsid w:val="222A260B"/>
    <w:rsid w:val="222D068F"/>
    <w:rsid w:val="222D6E3E"/>
    <w:rsid w:val="223A482E"/>
    <w:rsid w:val="223C1F78"/>
    <w:rsid w:val="22431F90"/>
    <w:rsid w:val="22476016"/>
    <w:rsid w:val="22476E0B"/>
    <w:rsid w:val="224A001D"/>
    <w:rsid w:val="225D2EF1"/>
    <w:rsid w:val="22655DE7"/>
    <w:rsid w:val="22742A27"/>
    <w:rsid w:val="22784192"/>
    <w:rsid w:val="22794142"/>
    <w:rsid w:val="22816A88"/>
    <w:rsid w:val="22830BEC"/>
    <w:rsid w:val="228647EE"/>
    <w:rsid w:val="22873491"/>
    <w:rsid w:val="22877591"/>
    <w:rsid w:val="228820FE"/>
    <w:rsid w:val="229317BB"/>
    <w:rsid w:val="22973B4F"/>
    <w:rsid w:val="229B2296"/>
    <w:rsid w:val="22AB7F87"/>
    <w:rsid w:val="22AF4D3A"/>
    <w:rsid w:val="22B30384"/>
    <w:rsid w:val="22C93193"/>
    <w:rsid w:val="22D5626F"/>
    <w:rsid w:val="22E13528"/>
    <w:rsid w:val="22E93745"/>
    <w:rsid w:val="22EE1096"/>
    <w:rsid w:val="22EF1551"/>
    <w:rsid w:val="22F041F8"/>
    <w:rsid w:val="22F0570E"/>
    <w:rsid w:val="22F44BA1"/>
    <w:rsid w:val="23025F4B"/>
    <w:rsid w:val="230A237E"/>
    <w:rsid w:val="2314776E"/>
    <w:rsid w:val="23412DDE"/>
    <w:rsid w:val="23436685"/>
    <w:rsid w:val="234438A0"/>
    <w:rsid w:val="234C00A8"/>
    <w:rsid w:val="2351701D"/>
    <w:rsid w:val="235A5446"/>
    <w:rsid w:val="23697786"/>
    <w:rsid w:val="236D61F3"/>
    <w:rsid w:val="236F247C"/>
    <w:rsid w:val="23741B23"/>
    <w:rsid w:val="23786774"/>
    <w:rsid w:val="23797A1B"/>
    <w:rsid w:val="237E0A3B"/>
    <w:rsid w:val="2381522D"/>
    <w:rsid w:val="238E6641"/>
    <w:rsid w:val="23A73B10"/>
    <w:rsid w:val="23B13D7C"/>
    <w:rsid w:val="23B70C77"/>
    <w:rsid w:val="23C063AD"/>
    <w:rsid w:val="23D505A9"/>
    <w:rsid w:val="23F2204E"/>
    <w:rsid w:val="23F54AC9"/>
    <w:rsid w:val="23F848BB"/>
    <w:rsid w:val="24054BD5"/>
    <w:rsid w:val="240A1BB0"/>
    <w:rsid w:val="241A43B0"/>
    <w:rsid w:val="241D5586"/>
    <w:rsid w:val="24246CCD"/>
    <w:rsid w:val="243B27B6"/>
    <w:rsid w:val="243D5C2B"/>
    <w:rsid w:val="24466EDB"/>
    <w:rsid w:val="24514B39"/>
    <w:rsid w:val="24515797"/>
    <w:rsid w:val="2451676F"/>
    <w:rsid w:val="24524E8A"/>
    <w:rsid w:val="24673462"/>
    <w:rsid w:val="24675955"/>
    <w:rsid w:val="246D208B"/>
    <w:rsid w:val="24776BBA"/>
    <w:rsid w:val="24785646"/>
    <w:rsid w:val="248028A1"/>
    <w:rsid w:val="24841DD0"/>
    <w:rsid w:val="24936B36"/>
    <w:rsid w:val="249A6FF3"/>
    <w:rsid w:val="24A26D90"/>
    <w:rsid w:val="24AB4876"/>
    <w:rsid w:val="24B06EE5"/>
    <w:rsid w:val="24BF4EEA"/>
    <w:rsid w:val="24D457F9"/>
    <w:rsid w:val="24E038B7"/>
    <w:rsid w:val="24E45FB4"/>
    <w:rsid w:val="24E92114"/>
    <w:rsid w:val="24EF7670"/>
    <w:rsid w:val="24F85EA0"/>
    <w:rsid w:val="25025C48"/>
    <w:rsid w:val="250710D3"/>
    <w:rsid w:val="251D6F73"/>
    <w:rsid w:val="252457C9"/>
    <w:rsid w:val="25331E0C"/>
    <w:rsid w:val="253E20DF"/>
    <w:rsid w:val="25404627"/>
    <w:rsid w:val="25414119"/>
    <w:rsid w:val="2542028B"/>
    <w:rsid w:val="25456322"/>
    <w:rsid w:val="254F64F0"/>
    <w:rsid w:val="25674672"/>
    <w:rsid w:val="2575220D"/>
    <w:rsid w:val="257A108C"/>
    <w:rsid w:val="25946F0E"/>
    <w:rsid w:val="259A64A3"/>
    <w:rsid w:val="25A24847"/>
    <w:rsid w:val="25AD6D3E"/>
    <w:rsid w:val="25C1006B"/>
    <w:rsid w:val="25C22195"/>
    <w:rsid w:val="25C84CB1"/>
    <w:rsid w:val="25D2507E"/>
    <w:rsid w:val="25E03311"/>
    <w:rsid w:val="25E7739E"/>
    <w:rsid w:val="25EB4445"/>
    <w:rsid w:val="25F27BD4"/>
    <w:rsid w:val="26021F02"/>
    <w:rsid w:val="260929B3"/>
    <w:rsid w:val="261D4609"/>
    <w:rsid w:val="26233EDC"/>
    <w:rsid w:val="26235823"/>
    <w:rsid w:val="26307A04"/>
    <w:rsid w:val="264051E9"/>
    <w:rsid w:val="26450116"/>
    <w:rsid w:val="264D1A33"/>
    <w:rsid w:val="26512FF4"/>
    <w:rsid w:val="26710CE8"/>
    <w:rsid w:val="267F03F5"/>
    <w:rsid w:val="26896F5A"/>
    <w:rsid w:val="26897DB3"/>
    <w:rsid w:val="269A1D8A"/>
    <w:rsid w:val="26C039B6"/>
    <w:rsid w:val="26DB0AB2"/>
    <w:rsid w:val="26EC4808"/>
    <w:rsid w:val="26FD42C6"/>
    <w:rsid w:val="271B407C"/>
    <w:rsid w:val="272117B0"/>
    <w:rsid w:val="272E4CB3"/>
    <w:rsid w:val="2731199B"/>
    <w:rsid w:val="274C0B76"/>
    <w:rsid w:val="27520E68"/>
    <w:rsid w:val="276035E5"/>
    <w:rsid w:val="27652F0A"/>
    <w:rsid w:val="276A1229"/>
    <w:rsid w:val="27785213"/>
    <w:rsid w:val="277E07E7"/>
    <w:rsid w:val="27834A1F"/>
    <w:rsid w:val="27930309"/>
    <w:rsid w:val="27995217"/>
    <w:rsid w:val="27A47F2D"/>
    <w:rsid w:val="27C37352"/>
    <w:rsid w:val="27C657D2"/>
    <w:rsid w:val="27C769F6"/>
    <w:rsid w:val="27D16220"/>
    <w:rsid w:val="27D62A50"/>
    <w:rsid w:val="27F46DE4"/>
    <w:rsid w:val="27F57E3D"/>
    <w:rsid w:val="27F77AE8"/>
    <w:rsid w:val="27FD1365"/>
    <w:rsid w:val="28004487"/>
    <w:rsid w:val="280421A8"/>
    <w:rsid w:val="28124C82"/>
    <w:rsid w:val="281B2396"/>
    <w:rsid w:val="282F784B"/>
    <w:rsid w:val="28434726"/>
    <w:rsid w:val="284E399A"/>
    <w:rsid w:val="28604709"/>
    <w:rsid w:val="28622D81"/>
    <w:rsid w:val="286B4472"/>
    <w:rsid w:val="28897105"/>
    <w:rsid w:val="28943C39"/>
    <w:rsid w:val="289B4EE3"/>
    <w:rsid w:val="289E58FD"/>
    <w:rsid w:val="28A27B3B"/>
    <w:rsid w:val="28A65E73"/>
    <w:rsid w:val="28B759D7"/>
    <w:rsid w:val="28D949D4"/>
    <w:rsid w:val="28EB1B5B"/>
    <w:rsid w:val="28FD2DF3"/>
    <w:rsid w:val="290723ED"/>
    <w:rsid w:val="290F7B65"/>
    <w:rsid w:val="2912486F"/>
    <w:rsid w:val="29165014"/>
    <w:rsid w:val="29171E00"/>
    <w:rsid w:val="291A1B75"/>
    <w:rsid w:val="291C7A80"/>
    <w:rsid w:val="29201D73"/>
    <w:rsid w:val="292A0128"/>
    <w:rsid w:val="293D3B27"/>
    <w:rsid w:val="29476E5B"/>
    <w:rsid w:val="29502E1E"/>
    <w:rsid w:val="2951552F"/>
    <w:rsid w:val="29526CB6"/>
    <w:rsid w:val="29537975"/>
    <w:rsid w:val="295D46EB"/>
    <w:rsid w:val="296214FF"/>
    <w:rsid w:val="29731770"/>
    <w:rsid w:val="29785E86"/>
    <w:rsid w:val="297D7878"/>
    <w:rsid w:val="29861E98"/>
    <w:rsid w:val="29A14BBA"/>
    <w:rsid w:val="29A4131D"/>
    <w:rsid w:val="29A5292C"/>
    <w:rsid w:val="29A9603F"/>
    <w:rsid w:val="29AF3C86"/>
    <w:rsid w:val="29B73324"/>
    <w:rsid w:val="29C46C65"/>
    <w:rsid w:val="29D64ABC"/>
    <w:rsid w:val="29DB4B56"/>
    <w:rsid w:val="29DF2DE7"/>
    <w:rsid w:val="29E71186"/>
    <w:rsid w:val="29E7311D"/>
    <w:rsid w:val="29F02A91"/>
    <w:rsid w:val="29F74DA5"/>
    <w:rsid w:val="29F91258"/>
    <w:rsid w:val="2A0466EA"/>
    <w:rsid w:val="2A0F6D32"/>
    <w:rsid w:val="2A1245B9"/>
    <w:rsid w:val="2A2E037D"/>
    <w:rsid w:val="2A2F2E9A"/>
    <w:rsid w:val="2A2F6A41"/>
    <w:rsid w:val="2A31511B"/>
    <w:rsid w:val="2A3F42CE"/>
    <w:rsid w:val="2A5F35BA"/>
    <w:rsid w:val="2A5F3924"/>
    <w:rsid w:val="2A61597B"/>
    <w:rsid w:val="2A652461"/>
    <w:rsid w:val="2A6C13EE"/>
    <w:rsid w:val="2A6F62CB"/>
    <w:rsid w:val="2A707DC4"/>
    <w:rsid w:val="2A75428C"/>
    <w:rsid w:val="2A77061F"/>
    <w:rsid w:val="2A850231"/>
    <w:rsid w:val="2A9A7DD4"/>
    <w:rsid w:val="2A9B5D26"/>
    <w:rsid w:val="2A9E50B9"/>
    <w:rsid w:val="2AA01AFC"/>
    <w:rsid w:val="2AB74F1D"/>
    <w:rsid w:val="2ABA0F75"/>
    <w:rsid w:val="2AC45DC5"/>
    <w:rsid w:val="2AC50D6F"/>
    <w:rsid w:val="2AC77829"/>
    <w:rsid w:val="2ACB2664"/>
    <w:rsid w:val="2ACB3B21"/>
    <w:rsid w:val="2ACF075A"/>
    <w:rsid w:val="2AD263AB"/>
    <w:rsid w:val="2AF34313"/>
    <w:rsid w:val="2AF92A59"/>
    <w:rsid w:val="2AFA52AB"/>
    <w:rsid w:val="2AFC1696"/>
    <w:rsid w:val="2B0032E6"/>
    <w:rsid w:val="2B023CA9"/>
    <w:rsid w:val="2B07370E"/>
    <w:rsid w:val="2B0A02CA"/>
    <w:rsid w:val="2B12533F"/>
    <w:rsid w:val="2B1B6EA4"/>
    <w:rsid w:val="2B2E34A8"/>
    <w:rsid w:val="2B36289B"/>
    <w:rsid w:val="2B422FAB"/>
    <w:rsid w:val="2B5D6E41"/>
    <w:rsid w:val="2B607BBB"/>
    <w:rsid w:val="2B67331F"/>
    <w:rsid w:val="2B754C5C"/>
    <w:rsid w:val="2B8209DE"/>
    <w:rsid w:val="2B910C42"/>
    <w:rsid w:val="2B967EBD"/>
    <w:rsid w:val="2B990F62"/>
    <w:rsid w:val="2BCE2263"/>
    <w:rsid w:val="2BE46B94"/>
    <w:rsid w:val="2BEB1353"/>
    <w:rsid w:val="2BF13993"/>
    <w:rsid w:val="2BF51D47"/>
    <w:rsid w:val="2BFC6AAD"/>
    <w:rsid w:val="2C095573"/>
    <w:rsid w:val="2C141090"/>
    <w:rsid w:val="2C1509AC"/>
    <w:rsid w:val="2C1864AF"/>
    <w:rsid w:val="2C186D76"/>
    <w:rsid w:val="2C195D11"/>
    <w:rsid w:val="2C233E75"/>
    <w:rsid w:val="2C2862CE"/>
    <w:rsid w:val="2C312F3F"/>
    <w:rsid w:val="2C3C1196"/>
    <w:rsid w:val="2C486FCC"/>
    <w:rsid w:val="2C4F796B"/>
    <w:rsid w:val="2C57446E"/>
    <w:rsid w:val="2C593543"/>
    <w:rsid w:val="2C6103B8"/>
    <w:rsid w:val="2C651656"/>
    <w:rsid w:val="2C6A3484"/>
    <w:rsid w:val="2C6C3826"/>
    <w:rsid w:val="2C6F7E13"/>
    <w:rsid w:val="2C723CB2"/>
    <w:rsid w:val="2C725955"/>
    <w:rsid w:val="2C7D386D"/>
    <w:rsid w:val="2C8B7E9E"/>
    <w:rsid w:val="2C8E15B2"/>
    <w:rsid w:val="2C9A2754"/>
    <w:rsid w:val="2C9D1644"/>
    <w:rsid w:val="2CAB39CB"/>
    <w:rsid w:val="2CBE2B31"/>
    <w:rsid w:val="2CD55D9D"/>
    <w:rsid w:val="2CDE2AF6"/>
    <w:rsid w:val="2CE56C21"/>
    <w:rsid w:val="2CF73532"/>
    <w:rsid w:val="2CF82C72"/>
    <w:rsid w:val="2D0014B0"/>
    <w:rsid w:val="2D005972"/>
    <w:rsid w:val="2D027D2B"/>
    <w:rsid w:val="2D0B2B8B"/>
    <w:rsid w:val="2D0F7028"/>
    <w:rsid w:val="2D116B42"/>
    <w:rsid w:val="2D212ED1"/>
    <w:rsid w:val="2D235B30"/>
    <w:rsid w:val="2D246F8F"/>
    <w:rsid w:val="2D2940F6"/>
    <w:rsid w:val="2D3964D9"/>
    <w:rsid w:val="2D4C29EA"/>
    <w:rsid w:val="2D567862"/>
    <w:rsid w:val="2D5E0E22"/>
    <w:rsid w:val="2D652A1B"/>
    <w:rsid w:val="2D6D174B"/>
    <w:rsid w:val="2D703C9E"/>
    <w:rsid w:val="2D7358A1"/>
    <w:rsid w:val="2D746295"/>
    <w:rsid w:val="2D815908"/>
    <w:rsid w:val="2D8B749C"/>
    <w:rsid w:val="2D8D30DA"/>
    <w:rsid w:val="2D9F47F6"/>
    <w:rsid w:val="2DB27C5C"/>
    <w:rsid w:val="2DE24431"/>
    <w:rsid w:val="2DEE0E6F"/>
    <w:rsid w:val="2DFB4AB8"/>
    <w:rsid w:val="2DFC4D2C"/>
    <w:rsid w:val="2E005871"/>
    <w:rsid w:val="2E010343"/>
    <w:rsid w:val="2E047FF2"/>
    <w:rsid w:val="2E067F7A"/>
    <w:rsid w:val="2E0A4D72"/>
    <w:rsid w:val="2E1563A3"/>
    <w:rsid w:val="2E20775F"/>
    <w:rsid w:val="2E21007A"/>
    <w:rsid w:val="2E241823"/>
    <w:rsid w:val="2E272C30"/>
    <w:rsid w:val="2E2934E6"/>
    <w:rsid w:val="2E2B10FA"/>
    <w:rsid w:val="2E2E1972"/>
    <w:rsid w:val="2E3623A7"/>
    <w:rsid w:val="2E593A9E"/>
    <w:rsid w:val="2E5D43D6"/>
    <w:rsid w:val="2E644C2A"/>
    <w:rsid w:val="2E646D00"/>
    <w:rsid w:val="2E701EAB"/>
    <w:rsid w:val="2E7624C6"/>
    <w:rsid w:val="2E797BD3"/>
    <w:rsid w:val="2E8D6535"/>
    <w:rsid w:val="2E927696"/>
    <w:rsid w:val="2E98795E"/>
    <w:rsid w:val="2EA067FD"/>
    <w:rsid w:val="2EA162D1"/>
    <w:rsid w:val="2EA3443A"/>
    <w:rsid w:val="2EA939D2"/>
    <w:rsid w:val="2EB02B78"/>
    <w:rsid w:val="2EBE04F6"/>
    <w:rsid w:val="2EC2730E"/>
    <w:rsid w:val="2EC644FB"/>
    <w:rsid w:val="2EC67093"/>
    <w:rsid w:val="2EC86AEE"/>
    <w:rsid w:val="2ECE7227"/>
    <w:rsid w:val="2ED53B5F"/>
    <w:rsid w:val="2ED5709E"/>
    <w:rsid w:val="2EEB110D"/>
    <w:rsid w:val="2EFC280E"/>
    <w:rsid w:val="2F080F41"/>
    <w:rsid w:val="2F0A5C04"/>
    <w:rsid w:val="2F0C2EA5"/>
    <w:rsid w:val="2F101507"/>
    <w:rsid w:val="2F2B4824"/>
    <w:rsid w:val="2F2E0D8A"/>
    <w:rsid w:val="2F4174F0"/>
    <w:rsid w:val="2F486510"/>
    <w:rsid w:val="2F686996"/>
    <w:rsid w:val="2F796077"/>
    <w:rsid w:val="2F8A5B26"/>
    <w:rsid w:val="2F8E3EE3"/>
    <w:rsid w:val="2F901C22"/>
    <w:rsid w:val="2FA4542C"/>
    <w:rsid w:val="2FAC2975"/>
    <w:rsid w:val="2FB11BE0"/>
    <w:rsid w:val="2FB330DD"/>
    <w:rsid w:val="2FB70BD4"/>
    <w:rsid w:val="2FBD331C"/>
    <w:rsid w:val="2FC8768C"/>
    <w:rsid w:val="2FD12748"/>
    <w:rsid w:val="2FD30970"/>
    <w:rsid w:val="2FDA41AA"/>
    <w:rsid w:val="2FDF69C1"/>
    <w:rsid w:val="2FE4637B"/>
    <w:rsid w:val="2FE670C0"/>
    <w:rsid w:val="2FE760A1"/>
    <w:rsid w:val="2FF73B0C"/>
    <w:rsid w:val="300C3372"/>
    <w:rsid w:val="301133B8"/>
    <w:rsid w:val="301828ED"/>
    <w:rsid w:val="301D2329"/>
    <w:rsid w:val="303A1D50"/>
    <w:rsid w:val="304A72D6"/>
    <w:rsid w:val="304C5151"/>
    <w:rsid w:val="307D1030"/>
    <w:rsid w:val="307E4735"/>
    <w:rsid w:val="308A5F5D"/>
    <w:rsid w:val="308A797B"/>
    <w:rsid w:val="30943EB2"/>
    <w:rsid w:val="30971D6F"/>
    <w:rsid w:val="30A85C9F"/>
    <w:rsid w:val="30AD4DCB"/>
    <w:rsid w:val="30B4765E"/>
    <w:rsid w:val="30B667BB"/>
    <w:rsid w:val="30B8456C"/>
    <w:rsid w:val="30C73496"/>
    <w:rsid w:val="30CF10F9"/>
    <w:rsid w:val="30D8213D"/>
    <w:rsid w:val="30E33718"/>
    <w:rsid w:val="30E949D6"/>
    <w:rsid w:val="30ED24A7"/>
    <w:rsid w:val="30EE482F"/>
    <w:rsid w:val="30F57E0B"/>
    <w:rsid w:val="30FA61EE"/>
    <w:rsid w:val="30FA6ECA"/>
    <w:rsid w:val="30FB394C"/>
    <w:rsid w:val="30FC2B6E"/>
    <w:rsid w:val="30FE300E"/>
    <w:rsid w:val="3102343B"/>
    <w:rsid w:val="310E2475"/>
    <w:rsid w:val="31137660"/>
    <w:rsid w:val="311D67AA"/>
    <w:rsid w:val="312214E3"/>
    <w:rsid w:val="31380577"/>
    <w:rsid w:val="31483B8D"/>
    <w:rsid w:val="314D2662"/>
    <w:rsid w:val="316601C0"/>
    <w:rsid w:val="316A48EC"/>
    <w:rsid w:val="316B7AC7"/>
    <w:rsid w:val="316F7978"/>
    <w:rsid w:val="317F3FF3"/>
    <w:rsid w:val="31971D9D"/>
    <w:rsid w:val="31995BB7"/>
    <w:rsid w:val="31A321C0"/>
    <w:rsid w:val="31A97170"/>
    <w:rsid w:val="31B45116"/>
    <w:rsid w:val="31BB6E48"/>
    <w:rsid w:val="31CF75BF"/>
    <w:rsid w:val="31D77292"/>
    <w:rsid w:val="31DF0B9E"/>
    <w:rsid w:val="31EB2C2F"/>
    <w:rsid w:val="31FD13E5"/>
    <w:rsid w:val="320574C1"/>
    <w:rsid w:val="320757B4"/>
    <w:rsid w:val="3208052C"/>
    <w:rsid w:val="320A491D"/>
    <w:rsid w:val="32160A33"/>
    <w:rsid w:val="32190AA3"/>
    <w:rsid w:val="322E344E"/>
    <w:rsid w:val="324147EC"/>
    <w:rsid w:val="32421D13"/>
    <w:rsid w:val="32545121"/>
    <w:rsid w:val="325B66DD"/>
    <w:rsid w:val="325C50C2"/>
    <w:rsid w:val="325F3ECE"/>
    <w:rsid w:val="32692ACD"/>
    <w:rsid w:val="326A2142"/>
    <w:rsid w:val="3275295D"/>
    <w:rsid w:val="32800452"/>
    <w:rsid w:val="32840689"/>
    <w:rsid w:val="328B663C"/>
    <w:rsid w:val="32905062"/>
    <w:rsid w:val="329A765E"/>
    <w:rsid w:val="329D5CE5"/>
    <w:rsid w:val="329E743A"/>
    <w:rsid w:val="32A84ADE"/>
    <w:rsid w:val="32A91F31"/>
    <w:rsid w:val="32B729A2"/>
    <w:rsid w:val="32C96654"/>
    <w:rsid w:val="32D471A3"/>
    <w:rsid w:val="32E068A4"/>
    <w:rsid w:val="32EB498D"/>
    <w:rsid w:val="32ED3E20"/>
    <w:rsid w:val="32F82224"/>
    <w:rsid w:val="33037D24"/>
    <w:rsid w:val="33077A6B"/>
    <w:rsid w:val="33096A98"/>
    <w:rsid w:val="332C7BA2"/>
    <w:rsid w:val="33311554"/>
    <w:rsid w:val="3339040A"/>
    <w:rsid w:val="33442B5F"/>
    <w:rsid w:val="3345160D"/>
    <w:rsid w:val="334B751B"/>
    <w:rsid w:val="33536293"/>
    <w:rsid w:val="335A369A"/>
    <w:rsid w:val="335A7DFF"/>
    <w:rsid w:val="3363221D"/>
    <w:rsid w:val="33637EDA"/>
    <w:rsid w:val="3379004E"/>
    <w:rsid w:val="337E30A1"/>
    <w:rsid w:val="338818B8"/>
    <w:rsid w:val="338A5DAD"/>
    <w:rsid w:val="33933337"/>
    <w:rsid w:val="33946513"/>
    <w:rsid w:val="33A1247D"/>
    <w:rsid w:val="33A83DFF"/>
    <w:rsid w:val="33AC1BF8"/>
    <w:rsid w:val="33B34315"/>
    <w:rsid w:val="33BD725C"/>
    <w:rsid w:val="33C058D8"/>
    <w:rsid w:val="33C22976"/>
    <w:rsid w:val="33C33949"/>
    <w:rsid w:val="33C95B12"/>
    <w:rsid w:val="33D64ABC"/>
    <w:rsid w:val="33DA0DEF"/>
    <w:rsid w:val="33E5518B"/>
    <w:rsid w:val="33F20FBF"/>
    <w:rsid w:val="33F35985"/>
    <w:rsid w:val="33F50981"/>
    <w:rsid w:val="33FA15F4"/>
    <w:rsid w:val="340A179E"/>
    <w:rsid w:val="340D342B"/>
    <w:rsid w:val="34125C18"/>
    <w:rsid w:val="3427225F"/>
    <w:rsid w:val="34423436"/>
    <w:rsid w:val="345A0EA7"/>
    <w:rsid w:val="345E5F31"/>
    <w:rsid w:val="34730E54"/>
    <w:rsid w:val="34776148"/>
    <w:rsid w:val="348B4258"/>
    <w:rsid w:val="348B64AD"/>
    <w:rsid w:val="34922008"/>
    <w:rsid w:val="3496111A"/>
    <w:rsid w:val="34A034F2"/>
    <w:rsid w:val="34A66245"/>
    <w:rsid w:val="34A91883"/>
    <w:rsid w:val="34B50A27"/>
    <w:rsid w:val="34E428AA"/>
    <w:rsid w:val="34F616C2"/>
    <w:rsid w:val="35001C63"/>
    <w:rsid w:val="35145C0C"/>
    <w:rsid w:val="351B23AB"/>
    <w:rsid w:val="351B7855"/>
    <w:rsid w:val="351C33C2"/>
    <w:rsid w:val="351F525E"/>
    <w:rsid w:val="352612A5"/>
    <w:rsid w:val="35332F3C"/>
    <w:rsid w:val="35376FC0"/>
    <w:rsid w:val="353B1B19"/>
    <w:rsid w:val="353E07F5"/>
    <w:rsid w:val="354436E7"/>
    <w:rsid w:val="35594B74"/>
    <w:rsid w:val="355B76D8"/>
    <w:rsid w:val="355D6FBC"/>
    <w:rsid w:val="3573120F"/>
    <w:rsid w:val="35766A84"/>
    <w:rsid w:val="35920EE5"/>
    <w:rsid w:val="35963A6E"/>
    <w:rsid w:val="359763D0"/>
    <w:rsid w:val="35A621F9"/>
    <w:rsid w:val="35A71E22"/>
    <w:rsid w:val="35AC7853"/>
    <w:rsid w:val="35C7009D"/>
    <w:rsid w:val="35CB3E6B"/>
    <w:rsid w:val="35DA4ADD"/>
    <w:rsid w:val="35F7629A"/>
    <w:rsid w:val="35F91CD1"/>
    <w:rsid w:val="35FF3141"/>
    <w:rsid w:val="360555B5"/>
    <w:rsid w:val="3605584B"/>
    <w:rsid w:val="360A2E12"/>
    <w:rsid w:val="361F2CFE"/>
    <w:rsid w:val="362225AA"/>
    <w:rsid w:val="36271D5A"/>
    <w:rsid w:val="362827DF"/>
    <w:rsid w:val="362B1F21"/>
    <w:rsid w:val="362D16D5"/>
    <w:rsid w:val="3633294C"/>
    <w:rsid w:val="363E253B"/>
    <w:rsid w:val="36426903"/>
    <w:rsid w:val="36652954"/>
    <w:rsid w:val="367243CB"/>
    <w:rsid w:val="368123BD"/>
    <w:rsid w:val="36820902"/>
    <w:rsid w:val="368212F7"/>
    <w:rsid w:val="36996D78"/>
    <w:rsid w:val="36A70CAD"/>
    <w:rsid w:val="36BA358C"/>
    <w:rsid w:val="36BA68A3"/>
    <w:rsid w:val="36BB45EA"/>
    <w:rsid w:val="36C63974"/>
    <w:rsid w:val="36D212E5"/>
    <w:rsid w:val="36DB2793"/>
    <w:rsid w:val="36E17D26"/>
    <w:rsid w:val="36E36420"/>
    <w:rsid w:val="36EA47FC"/>
    <w:rsid w:val="36EF4212"/>
    <w:rsid w:val="36F140D6"/>
    <w:rsid w:val="36F71D7C"/>
    <w:rsid w:val="370B3C6B"/>
    <w:rsid w:val="37110689"/>
    <w:rsid w:val="372C7CE4"/>
    <w:rsid w:val="37314649"/>
    <w:rsid w:val="37370C22"/>
    <w:rsid w:val="374A36D1"/>
    <w:rsid w:val="376056E9"/>
    <w:rsid w:val="3778231F"/>
    <w:rsid w:val="37785F5C"/>
    <w:rsid w:val="37852A30"/>
    <w:rsid w:val="378752B2"/>
    <w:rsid w:val="37880EF6"/>
    <w:rsid w:val="378F6CB6"/>
    <w:rsid w:val="37A00482"/>
    <w:rsid w:val="37A110A1"/>
    <w:rsid w:val="37A3501E"/>
    <w:rsid w:val="37A4521D"/>
    <w:rsid w:val="37B16457"/>
    <w:rsid w:val="37B428AF"/>
    <w:rsid w:val="37B73B9E"/>
    <w:rsid w:val="37C91233"/>
    <w:rsid w:val="37D977E9"/>
    <w:rsid w:val="37F2691F"/>
    <w:rsid w:val="37F827E7"/>
    <w:rsid w:val="37F82F85"/>
    <w:rsid w:val="380D0D4B"/>
    <w:rsid w:val="381258D0"/>
    <w:rsid w:val="38153055"/>
    <w:rsid w:val="382E7411"/>
    <w:rsid w:val="383130BB"/>
    <w:rsid w:val="383815A1"/>
    <w:rsid w:val="38573139"/>
    <w:rsid w:val="385B1629"/>
    <w:rsid w:val="385B378C"/>
    <w:rsid w:val="385E1595"/>
    <w:rsid w:val="387C6AF1"/>
    <w:rsid w:val="38861D37"/>
    <w:rsid w:val="3892439E"/>
    <w:rsid w:val="38A47E29"/>
    <w:rsid w:val="38AE6F57"/>
    <w:rsid w:val="38B608DC"/>
    <w:rsid w:val="38BB022D"/>
    <w:rsid w:val="38BE0D57"/>
    <w:rsid w:val="38C03DDF"/>
    <w:rsid w:val="38D86DDD"/>
    <w:rsid w:val="38DE0236"/>
    <w:rsid w:val="38E34656"/>
    <w:rsid w:val="38E66584"/>
    <w:rsid w:val="39030FA3"/>
    <w:rsid w:val="39096D50"/>
    <w:rsid w:val="390F3492"/>
    <w:rsid w:val="392C2E2F"/>
    <w:rsid w:val="39330F57"/>
    <w:rsid w:val="393C7D76"/>
    <w:rsid w:val="394C022F"/>
    <w:rsid w:val="39561AEE"/>
    <w:rsid w:val="39596DCE"/>
    <w:rsid w:val="395F6381"/>
    <w:rsid w:val="39606EAB"/>
    <w:rsid w:val="396E3055"/>
    <w:rsid w:val="397B2E60"/>
    <w:rsid w:val="398448EF"/>
    <w:rsid w:val="399522F6"/>
    <w:rsid w:val="39955494"/>
    <w:rsid w:val="399D1B85"/>
    <w:rsid w:val="399F7B47"/>
    <w:rsid w:val="39A51CED"/>
    <w:rsid w:val="39AE1B2D"/>
    <w:rsid w:val="39B346A1"/>
    <w:rsid w:val="39B4058C"/>
    <w:rsid w:val="39C56F87"/>
    <w:rsid w:val="39D14B0D"/>
    <w:rsid w:val="39D2322A"/>
    <w:rsid w:val="39D7332B"/>
    <w:rsid w:val="39D82A59"/>
    <w:rsid w:val="39E9326D"/>
    <w:rsid w:val="39EA25D9"/>
    <w:rsid w:val="39F12261"/>
    <w:rsid w:val="39F27950"/>
    <w:rsid w:val="39F32C28"/>
    <w:rsid w:val="3A066EB4"/>
    <w:rsid w:val="3A094E29"/>
    <w:rsid w:val="3A0E6468"/>
    <w:rsid w:val="3A387BB8"/>
    <w:rsid w:val="3A3B526A"/>
    <w:rsid w:val="3A3E7A83"/>
    <w:rsid w:val="3A461889"/>
    <w:rsid w:val="3A4F559C"/>
    <w:rsid w:val="3A500125"/>
    <w:rsid w:val="3A51426A"/>
    <w:rsid w:val="3A581445"/>
    <w:rsid w:val="3A6114D2"/>
    <w:rsid w:val="3A675E6B"/>
    <w:rsid w:val="3A6D6B40"/>
    <w:rsid w:val="3A700C72"/>
    <w:rsid w:val="3A704814"/>
    <w:rsid w:val="3A741BB8"/>
    <w:rsid w:val="3A7A6E83"/>
    <w:rsid w:val="3A7C6A4F"/>
    <w:rsid w:val="3A824D57"/>
    <w:rsid w:val="3A850997"/>
    <w:rsid w:val="3A8B7139"/>
    <w:rsid w:val="3A8C23D8"/>
    <w:rsid w:val="3A8E001B"/>
    <w:rsid w:val="3A947CD7"/>
    <w:rsid w:val="3A950D1C"/>
    <w:rsid w:val="3A963E42"/>
    <w:rsid w:val="3A9D06FD"/>
    <w:rsid w:val="3AA2276A"/>
    <w:rsid w:val="3ABA2D65"/>
    <w:rsid w:val="3ABA674A"/>
    <w:rsid w:val="3ABF2920"/>
    <w:rsid w:val="3ACC7CDD"/>
    <w:rsid w:val="3ADB4207"/>
    <w:rsid w:val="3AED22D6"/>
    <w:rsid w:val="3AF779AD"/>
    <w:rsid w:val="3AFC3FBD"/>
    <w:rsid w:val="3B054314"/>
    <w:rsid w:val="3B06454D"/>
    <w:rsid w:val="3B0A0A82"/>
    <w:rsid w:val="3B0A2CBD"/>
    <w:rsid w:val="3B20616F"/>
    <w:rsid w:val="3B236D02"/>
    <w:rsid w:val="3B3A01BF"/>
    <w:rsid w:val="3B3B3B35"/>
    <w:rsid w:val="3B4D10A8"/>
    <w:rsid w:val="3B4D18B9"/>
    <w:rsid w:val="3B4D4CCB"/>
    <w:rsid w:val="3B516536"/>
    <w:rsid w:val="3B54121C"/>
    <w:rsid w:val="3B66672B"/>
    <w:rsid w:val="3B740A95"/>
    <w:rsid w:val="3B7C6EB5"/>
    <w:rsid w:val="3B8663F4"/>
    <w:rsid w:val="3B8E3DF5"/>
    <w:rsid w:val="3BAC1FFB"/>
    <w:rsid w:val="3BB132FB"/>
    <w:rsid w:val="3BB9180A"/>
    <w:rsid w:val="3BBD67A3"/>
    <w:rsid w:val="3BCC3C12"/>
    <w:rsid w:val="3BDE1D0F"/>
    <w:rsid w:val="3BE176EB"/>
    <w:rsid w:val="3BF25682"/>
    <w:rsid w:val="3BFA2D9E"/>
    <w:rsid w:val="3BFC2AB1"/>
    <w:rsid w:val="3C0B07A7"/>
    <w:rsid w:val="3C0B6357"/>
    <w:rsid w:val="3C0C1C7A"/>
    <w:rsid w:val="3C143550"/>
    <w:rsid w:val="3C1D100F"/>
    <w:rsid w:val="3C2E30BC"/>
    <w:rsid w:val="3C371B83"/>
    <w:rsid w:val="3C5D5E46"/>
    <w:rsid w:val="3C5E6796"/>
    <w:rsid w:val="3C6166C0"/>
    <w:rsid w:val="3C7524EC"/>
    <w:rsid w:val="3C782EED"/>
    <w:rsid w:val="3C805268"/>
    <w:rsid w:val="3C8C5C90"/>
    <w:rsid w:val="3C977434"/>
    <w:rsid w:val="3C98543B"/>
    <w:rsid w:val="3C9A3FDC"/>
    <w:rsid w:val="3CAE083D"/>
    <w:rsid w:val="3CC60CD5"/>
    <w:rsid w:val="3CC67348"/>
    <w:rsid w:val="3CD00F50"/>
    <w:rsid w:val="3CF63EFF"/>
    <w:rsid w:val="3CFA71AB"/>
    <w:rsid w:val="3CFE49F8"/>
    <w:rsid w:val="3D03632E"/>
    <w:rsid w:val="3D082EDF"/>
    <w:rsid w:val="3D0E2E63"/>
    <w:rsid w:val="3D3561DD"/>
    <w:rsid w:val="3D4D7A91"/>
    <w:rsid w:val="3D4F7B05"/>
    <w:rsid w:val="3D54300B"/>
    <w:rsid w:val="3D6A5304"/>
    <w:rsid w:val="3D73441B"/>
    <w:rsid w:val="3D8222C4"/>
    <w:rsid w:val="3D8D6F46"/>
    <w:rsid w:val="3D8F0147"/>
    <w:rsid w:val="3D930974"/>
    <w:rsid w:val="3D997BC8"/>
    <w:rsid w:val="3D9A7DE3"/>
    <w:rsid w:val="3DA561FC"/>
    <w:rsid w:val="3DA73E0D"/>
    <w:rsid w:val="3DAD404A"/>
    <w:rsid w:val="3DAE5D24"/>
    <w:rsid w:val="3DB0038E"/>
    <w:rsid w:val="3DB76FA2"/>
    <w:rsid w:val="3DC45E51"/>
    <w:rsid w:val="3DCB6C21"/>
    <w:rsid w:val="3DE63E91"/>
    <w:rsid w:val="3DEA1AD9"/>
    <w:rsid w:val="3DF25AC9"/>
    <w:rsid w:val="3DFE12E5"/>
    <w:rsid w:val="3E0C4B3C"/>
    <w:rsid w:val="3E156ABF"/>
    <w:rsid w:val="3E1F0B6E"/>
    <w:rsid w:val="3E2975DF"/>
    <w:rsid w:val="3E2C5A88"/>
    <w:rsid w:val="3E461BFC"/>
    <w:rsid w:val="3E53594E"/>
    <w:rsid w:val="3E587852"/>
    <w:rsid w:val="3E734A16"/>
    <w:rsid w:val="3E782131"/>
    <w:rsid w:val="3E8B35FF"/>
    <w:rsid w:val="3E8C7809"/>
    <w:rsid w:val="3E8F301C"/>
    <w:rsid w:val="3E957BE5"/>
    <w:rsid w:val="3EA766D7"/>
    <w:rsid w:val="3EAD116B"/>
    <w:rsid w:val="3EAF459A"/>
    <w:rsid w:val="3EB74BB5"/>
    <w:rsid w:val="3EBC2184"/>
    <w:rsid w:val="3EBF438A"/>
    <w:rsid w:val="3EC15189"/>
    <w:rsid w:val="3ED217B1"/>
    <w:rsid w:val="3ED44173"/>
    <w:rsid w:val="3EE2025A"/>
    <w:rsid w:val="3EE21D7A"/>
    <w:rsid w:val="3EF33A9A"/>
    <w:rsid w:val="3EF84CC5"/>
    <w:rsid w:val="3F172843"/>
    <w:rsid w:val="3F277F84"/>
    <w:rsid w:val="3F2E3D1E"/>
    <w:rsid w:val="3F324878"/>
    <w:rsid w:val="3F357622"/>
    <w:rsid w:val="3F4572FF"/>
    <w:rsid w:val="3F49047B"/>
    <w:rsid w:val="3F49690F"/>
    <w:rsid w:val="3F4B29CD"/>
    <w:rsid w:val="3F4C4DF4"/>
    <w:rsid w:val="3F500A65"/>
    <w:rsid w:val="3F547DE0"/>
    <w:rsid w:val="3F583DA4"/>
    <w:rsid w:val="3F5A14E5"/>
    <w:rsid w:val="3F6936B0"/>
    <w:rsid w:val="3F717440"/>
    <w:rsid w:val="3F735C05"/>
    <w:rsid w:val="3F773094"/>
    <w:rsid w:val="3F816E65"/>
    <w:rsid w:val="3F824F5D"/>
    <w:rsid w:val="3F8604AC"/>
    <w:rsid w:val="3F8E14A7"/>
    <w:rsid w:val="3F9215DF"/>
    <w:rsid w:val="3F9A3889"/>
    <w:rsid w:val="3F9B1329"/>
    <w:rsid w:val="3FA6268D"/>
    <w:rsid w:val="3FAE4B65"/>
    <w:rsid w:val="3FB02F4C"/>
    <w:rsid w:val="3FC05EDC"/>
    <w:rsid w:val="3FCE254D"/>
    <w:rsid w:val="3FD378FD"/>
    <w:rsid w:val="3FE553EE"/>
    <w:rsid w:val="3FE703C1"/>
    <w:rsid w:val="3FF27D17"/>
    <w:rsid w:val="3FFC55A5"/>
    <w:rsid w:val="40010611"/>
    <w:rsid w:val="40114771"/>
    <w:rsid w:val="40242D1A"/>
    <w:rsid w:val="402E650B"/>
    <w:rsid w:val="40351B99"/>
    <w:rsid w:val="40356427"/>
    <w:rsid w:val="40361EE3"/>
    <w:rsid w:val="40365D39"/>
    <w:rsid w:val="40377D71"/>
    <w:rsid w:val="403B29C0"/>
    <w:rsid w:val="404A535E"/>
    <w:rsid w:val="404E5FCE"/>
    <w:rsid w:val="405125C0"/>
    <w:rsid w:val="4057639D"/>
    <w:rsid w:val="40697B86"/>
    <w:rsid w:val="40835196"/>
    <w:rsid w:val="408B433C"/>
    <w:rsid w:val="408C182B"/>
    <w:rsid w:val="40940284"/>
    <w:rsid w:val="40956C3C"/>
    <w:rsid w:val="409A3D36"/>
    <w:rsid w:val="409C0F8C"/>
    <w:rsid w:val="409D0B02"/>
    <w:rsid w:val="409F4105"/>
    <w:rsid w:val="40A725E1"/>
    <w:rsid w:val="40A95132"/>
    <w:rsid w:val="40C22A9D"/>
    <w:rsid w:val="40C836E5"/>
    <w:rsid w:val="40EB78AF"/>
    <w:rsid w:val="40EE56FC"/>
    <w:rsid w:val="40F33A90"/>
    <w:rsid w:val="40F5691F"/>
    <w:rsid w:val="40FD6B85"/>
    <w:rsid w:val="41094720"/>
    <w:rsid w:val="41183A32"/>
    <w:rsid w:val="41226AC7"/>
    <w:rsid w:val="41395CDC"/>
    <w:rsid w:val="413F3D3C"/>
    <w:rsid w:val="414A2B2C"/>
    <w:rsid w:val="414F084D"/>
    <w:rsid w:val="415650C4"/>
    <w:rsid w:val="4157487D"/>
    <w:rsid w:val="41596804"/>
    <w:rsid w:val="416334E1"/>
    <w:rsid w:val="41641A99"/>
    <w:rsid w:val="416500F7"/>
    <w:rsid w:val="416F68DC"/>
    <w:rsid w:val="417C1F63"/>
    <w:rsid w:val="41A13682"/>
    <w:rsid w:val="41C01A1C"/>
    <w:rsid w:val="41D35E10"/>
    <w:rsid w:val="41D60CB4"/>
    <w:rsid w:val="41DB2A61"/>
    <w:rsid w:val="41EB1B1D"/>
    <w:rsid w:val="42023ED6"/>
    <w:rsid w:val="421015D0"/>
    <w:rsid w:val="4214103D"/>
    <w:rsid w:val="421F3E1C"/>
    <w:rsid w:val="423E3B31"/>
    <w:rsid w:val="424A0945"/>
    <w:rsid w:val="4251007E"/>
    <w:rsid w:val="425A3F23"/>
    <w:rsid w:val="425D1D0D"/>
    <w:rsid w:val="426248D9"/>
    <w:rsid w:val="427053F0"/>
    <w:rsid w:val="4278754D"/>
    <w:rsid w:val="427A51DD"/>
    <w:rsid w:val="4280744C"/>
    <w:rsid w:val="428572CF"/>
    <w:rsid w:val="42862F6A"/>
    <w:rsid w:val="42AF3E10"/>
    <w:rsid w:val="42BB7F47"/>
    <w:rsid w:val="42C5072E"/>
    <w:rsid w:val="42C83889"/>
    <w:rsid w:val="42D37716"/>
    <w:rsid w:val="42D54D37"/>
    <w:rsid w:val="42D87D4E"/>
    <w:rsid w:val="42D92A2D"/>
    <w:rsid w:val="42E576E1"/>
    <w:rsid w:val="42E75546"/>
    <w:rsid w:val="42E958A5"/>
    <w:rsid w:val="42ED2FE9"/>
    <w:rsid w:val="42EE4F1B"/>
    <w:rsid w:val="42EE50D1"/>
    <w:rsid w:val="42EE6843"/>
    <w:rsid w:val="42F33E4C"/>
    <w:rsid w:val="42F42F14"/>
    <w:rsid w:val="42F546E2"/>
    <w:rsid w:val="433762E0"/>
    <w:rsid w:val="4338245A"/>
    <w:rsid w:val="433A54D5"/>
    <w:rsid w:val="433C1EEB"/>
    <w:rsid w:val="433D0D2B"/>
    <w:rsid w:val="4346407C"/>
    <w:rsid w:val="434731EA"/>
    <w:rsid w:val="434E5920"/>
    <w:rsid w:val="43656E85"/>
    <w:rsid w:val="436908D8"/>
    <w:rsid w:val="436F6336"/>
    <w:rsid w:val="43701BDE"/>
    <w:rsid w:val="438526E0"/>
    <w:rsid w:val="4388537D"/>
    <w:rsid w:val="4389695C"/>
    <w:rsid w:val="43BF5146"/>
    <w:rsid w:val="43BF7221"/>
    <w:rsid w:val="43C3122D"/>
    <w:rsid w:val="43C666DD"/>
    <w:rsid w:val="43DA23CF"/>
    <w:rsid w:val="43E6289A"/>
    <w:rsid w:val="43EC10EA"/>
    <w:rsid w:val="43F12542"/>
    <w:rsid w:val="43FB38E0"/>
    <w:rsid w:val="43FD6436"/>
    <w:rsid w:val="43FE0303"/>
    <w:rsid w:val="440118E6"/>
    <w:rsid w:val="44057616"/>
    <w:rsid w:val="44112320"/>
    <w:rsid w:val="441263CE"/>
    <w:rsid w:val="441D021C"/>
    <w:rsid w:val="44265486"/>
    <w:rsid w:val="442F7CF2"/>
    <w:rsid w:val="443F7A90"/>
    <w:rsid w:val="444965CB"/>
    <w:rsid w:val="445115A6"/>
    <w:rsid w:val="4460260E"/>
    <w:rsid w:val="446979B8"/>
    <w:rsid w:val="44767BF0"/>
    <w:rsid w:val="447B1075"/>
    <w:rsid w:val="447D138B"/>
    <w:rsid w:val="448218BF"/>
    <w:rsid w:val="44890886"/>
    <w:rsid w:val="448F0718"/>
    <w:rsid w:val="44944D97"/>
    <w:rsid w:val="449F6876"/>
    <w:rsid w:val="44A439FD"/>
    <w:rsid w:val="44A65701"/>
    <w:rsid w:val="44BA3ABA"/>
    <w:rsid w:val="44BD254C"/>
    <w:rsid w:val="44C94BE6"/>
    <w:rsid w:val="44CA43F6"/>
    <w:rsid w:val="44CC32F9"/>
    <w:rsid w:val="44F1479E"/>
    <w:rsid w:val="45036B39"/>
    <w:rsid w:val="452B7DC1"/>
    <w:rsid w:val="452F34C0"/>
    <w:rsid w:val="45344FEF"/>
    <w:rsid w:val="45383889"/>
    <w:rsid w:val="45404891"/>
    <w:rsid w:val="45407349"/>
    <w:rsid w:val="454607EE"/>
    <w:rsid w:val="454C7C49"/>
    <w:rsid w:val="455A707D"/>
    <w:rsid w:val="456964E2"/>
    <w:rsid w:val="457022D9"/>
    <w:rsid w:val="4574703B"/>
    <w:rsid w:val="45786F1B"/>
    <w:rsid w:val="4583410C"/>
    <w:rsid w:val="458E269D"/>
    <w:rsid w:val="459008BC"/>
    <w:rsid w:val="45903650"/>
    <w:rsid w:val="459A0413"/>
    <w:rsid w:val="459A7283"/>
    <w:rsid w:val="45A474FD"/>
    <w:rsid w:val="45B10941"/>
    <w:rsid w:val="45BA3139"/>
    <w:rsid w:val="45CB0D0F"/>
    <w:rsid w:val="45CF5499"/>
    <w:rsid w:val="45D16BCE"/>
    <w:rsid w:val="45D4473F"/>
    <w:rsid w:val="45DF2EF9"/>
    <w:rsid w:val="45E67E61"/>
    <w:rsid w:val="45F41562"/>
    <w:rsid w:val="45F656CC"/>
    <w:rsid w:val="45FA0304"/>
    <w:rsid w:val="46051B4F"/>
    <w:rsid w:val="460927E6"/>
    <w:rsid w:val="460930B5"/>
    <w:rsid w:val="46111940"/>
    <w:rsid w:val="461314FD"/>
    <w:rsid w:val="4625691E"/>
    <w:rsid w:val="46481E9E"/>
    <w:rsid w:val="464B4741"/>
    <w:rsid w:val="46517C73"/>
    <w:rsid w:val="4666417F"/>
    <w:rsid w:val="467240D8"/>
    <w:rsid w:val="46783549"/>
    <w:rsid w:val="467A1F07"/>
    <w:rsid w:val="468F3B85"/>
    <w:rsid w:val="46B201E0"/>
    <w:rsid w:val="46B914AE"/>
    <w:rsid w:val="46C103C7"/>
    <w:rsid w:val="46C2064E"/>
    <w:rsid w:val="46DC704E"/>
    <w:rsid w:val="46DE62B6"/>
    <w:rsid w:val="46E40DCA"/>
    <w:rsid w:val="46E93117"/>
    <w:rsid w:val="46EB6860"/>
    <w:rsid w:val="46F00B40"/>
    <w:rsid w:val="46FF432E"/>
    <w:rsid w:val="47080278"/>
    <w:rsid w:val="470D284B"/>
    <w:rsid w:val="471541F7"/>
    <w:rsid w:val="471A6994"/>
    <w:rsid w:val="471E284F"/>
    <w:rsid w:val="473A16B0"/>
    <w:rsid w:val="47415B8C"/>
    <w:rsid w:val="47466BEC"/>
    <w:rsid w:val="474B40A4"/>
    <w:rsid w:val="474B6539"/>
    <w:rsid w:val="47526A08"/>
    <w:rsid w:val="47583488"/>
    <w:rsid w:val="475A72AE"/>
    <w:rsid w:val="475D124F"/>
    <w:rsid w:val="475F67E1"/>
    <w:rsid w:val="47753C8C"/>
    <w:rsid w:val="4786726E"/>
    <w:rsid w:val="479A26BF"/>
    <w:rsid w:val="479E36A2"/>
    <w:rsid w:val="47A861A7"/>
    <w:rsid w:val="47AC4E1E"/>
    <w:rsid w:val="47B60149"/>
    <w:rsid w:val="47BB68BE"/>
    <w:rsid w:val="47CD39F7"/>
    <w:rsid w:val="47D00095"/>
    <w:rsid w:val="47F01D40"/>
    <w:rsid w:val="47FD57CA"/>
    <w:rsid w:val="480D7A44"/>
    <w:rsid w:val="480E1FDD"/>
    <w:rsid w:val="480E4C89"/>
    <w:rsid w:val="48245BF7"/>
    <w:rsid w:val="482A6AD9"/>
    <w:rsid w:val="482F217F"/>
    <w:rsid w:val="48312C49"/>
    <w:rsid w:val="48387357"/>
    <w:rsid w:val="483F7E48"/>
    <w:rsid w:val="4848464A"/>
    <w:rsid w:val="48496F13"/>
    <w:rsid w:val="484B3D8F"/>
    <w:rsid w:val="484E7BBC"/>
    <w:rsid w:val="484F4336"/>
    <w:rsid w:val="48536C67"/>
    <w:rsid w:val="48575677"/>
    <w:rsid w:val="485D520F"/>
    <w:rsid w:val="48645CB0"/>
    <w:rsid w:val="48673D41"/>
    <w:rsid w:val="48751F9C"/>
    <w:rsid w:val="4880534E"/>
    <w:rsid w:val="48935DBD"/>
    <w:rsid w:val="48A36EA2"/>
    <w:rsid w:val="48B411AC"/>
    <w:rsid w:val="48BC3E44"/>
    <w:rsid w:val="48CF2936"/>
    <w:rsid w:val="48D2641F"/>
    <w:rsid w:val="48D72AA4"/>
    <w:rsid w:val="48E67B36"/>
    <w:rsid w:val="48E86D71"/>
    <w:rsid w:val="48EB4218"/>
    <w:rsid w:val="48EF328A"/>
    <w:rsid w:val="48F01AEB"/>
    <w:rsid w:val="49077E9E"/>
    <w:rsid w:val="490A5B97"/>
    <w:rsid w:val="490B27BB"/>
    <w:rsid w:val="491002B6"/>
    <w:rsid w:val="4914536F"/>
    <w:rsid w:val="491D2650"/>
    <w:rsid w:val="492B507F"/>
    <w:rsid w:val="492D1DDE"/>
    <w:rsid w:val="493614B0"/>
    <w:rsid w:val="493C7A8C"/>
    <w:rsid w:val="49410A24"/>
    <w:rsid w:val="494857B7"/>
    <w:rsid w:val="494C24B0"/>
    <w:rsid w:val="494E63B6"/>
    <w:rsid w:val="49695C63"/>
    <w:rsid w:val="496D5B7F"/>
    <w:rsid w:val="496F31AF"/>
    <w:rsid w:val="498E3205"/>
    <w:rsid w:val="498F48ED"/>
    <w:rsid w:val="49937027"/>
    <w:rsid w:val="49970E17"/>
    <w:rsid w:val="499F4EF7"/>
    <w:rsid w:val="49A40D7A"/>
    <w:rsid w:val="49A441F8"/>
    <w:rsid w:val="49A63F8D"/>
    <w:rsid w:val="49A65DF7"/>
    <w:rsid w:val="49AA60C1"/>
    <w:rsid w:val="49C13C1C"/>
    <w:rsid w:val="49C3746D"/>
    <w:rsid w:val="49CF7BFD"/>
    <w:rsid w:val="49D3335B"/>
    <w:rsid w:val="4A100063"/>
    <w:rsid w:val="4A1C6CB2"/>
    <w:rsid w:val="4A1E3935"/>
    <w:rsid w:val="4A25663F"/>
    <w:rsid w:val="4A2C19BE"/>
    <w:rsid w:val="4A316551"/>
    <w:rsid w:val="4A370ACB"/>
    <w:rsid w:val="4A534060"/>
    <w:rsid w:val="4A5E3F5D"/>
    <w:rsid w:val="4A643048"/>
    <w:rsid w:val="4A6A0409"/>
    <w:rsid w:val="4A6D57C0"/>
    <w:rsid w:val="4A6E29BE"/>
    <w:rsid w:val="4A737F56"/>
    <w:rsid w:val="4A752B39"/>
    <w:rsid w:val="4A7F7333"/>
    <w:rsid w:val="4A8A2AC5"/>
    <w:rsid w:val="4A8C1339"/>
    <w:rsid w:val="4A8C6B66"/>
    <w:rsid w:val="4AB04074"/>
    <w:rsid w:val="4ABA7B9F"/>
    <w:rsid w:val="4AC550CD"/>
    <w:rsid w:val="4AC673F5"/>
    <w:rsid w:val="4AC8143E"/>
    <w:rsid w:val="4AD25391"/>
    <w:rsid w:val="4ADE111E"/>
    <w:rsid w:val="4ADF495F"/>
    <w:rsid w:val="4AE11F68"/>
    <w:rsid w:val="4AE467D4"/>
    <w:rsid w:val="4AF53FC1"/>
    <w:rsid w:val="4AFB4DFA"/>
    <w:rsid w:val="4B047819"/>
    <w:rsid w:val="4B0906B0"/>
    <w:rsid w:val="4B0A2833"/>
    <w:rsid w:val="4B0E4906"/>
    <w:rsid w:val="4B1102E4"/>
    <w:rsid w:val="4B1D10D9"/>
    <w:rsid w:val="4B322F06"/>
    <w:rsid w:val="4B4C6B69"/>
    <w:rsid w:val="4B4F67F4"/>
    <w:rsid w:val="4B59693F"/>
    <w:rsid w:val="4B5A21BE"/>
    <w:rsid w:val="4B616382"/>
    <w:rsid w:val="4B762E3C"/>
    <w:rsid w:val="4B7C70D6"/>
    <w:rsid w:val="4B825943"/>
    <w:rsid w:val="4B8B7457"/>
    <w:rsid w:val="4B911213"/>
    <w:rsid w:val="4B9C5997"/>
    <w:rsid w:val="4BA6078E"/>
    <w:rsid w:val="4BAF5EFB"/>
    <w:rsid w:val="4BBC2993"/>
    <w:rsid w:val="4BBD20C4"/>
    <w:rsid w:val="4BD17F6C"/>
    <w:rsid w:val="4BD95228"/>
    <w:rsid w:val="4BDF09C0"/>
    <w:rsid w:val="4BE204A5"/>
    <w:rsid w:val="4BE555A3"/>
    <w:rsid w:val="4BF00FDC"/>
    <w:rsid w:val="4BF30667"/>
    <w:rsid w:val="4BF74ED8"/>
    <w:rsid w:val="4BFF7567"/>
    <w:rsid w:val="4C037DED"/>
    <w:rsid w:val="4C0675CE"/>
    <w:rsid w:val="4C0902D0"/>
    <w:rsid w:val="4C0C384A"/>
    <w:rsid w:val="4C0E31B8"/>
    <w:rsid w:val="4C0E7DCB"/>
    <w:rsid w:val="4C135FF8"/>
    <w:rsid w:val="4C1764AE"/>
    <w:rsid w:val="4C1C34EB"/>
    <w:rsid w:val="4C1F6B05"/>
    <w:rsid w:val="4C307E7C"/>
    <w:rsid w:val="4C3124E0"/>
    <w:rsid w:val="4C55337B"/>
    <w:rsid w:val="4C747FD4"/>
    <w:rsid w:val="4C8E10BF"/>
    <w:rsid w:val="4C9F39BE"/>
    <w:rsid w:val="4CA050E3"/>
    <w:rsid w:val="4CB56CBB"/>
    <w:rsid w:val="4CBB2A4F"/>
    <w:rsid w:val="4CBF5CB0"/>
    <w:rsid w:val="4CC173B9"/>
    <w:rsid w:val="4CC85F1B"/>
    <w:rsid w:val="4CD174D7"/>
    <w:rsid w:val="4CDC64EB"/>
    <w:rsid w:val="4CEE44C7"/>
    <w:rsid w:val="4CEE61E7"/>
    <w:rsid w:val="4CF678FA"/>
    <w:rsid w:val="4D09383B"/>
    <w:rsid w:val="4D1971E1"/>
    <w:rsid w:val="4D343765"/>
    <w:rsid w:val="4D396E19"/>
    <w:rsid w:val="4D3C4892"/>
    <w:rsid w:val="4D424758"/>
    <w:rsid w:val="4D45658C"/>
    <w:rsid w:val="4D534390"/>
    <w:rsid w:val="4D59222C"/>
    <w:rsid w:val="4D5A34F5"/>
    <w:rsid w:val="4D644E80"/>
    <w:rsid w:val="4D793969"/>
    <w:rsid w:val="4D876303"/>
    <w:rsid w:val="4D8A3184"/>
    <w:rsid w:val="4D8D636E"/>
    <w:rsid w:val="4D915F63"/>
    <w:rsid w:val="4D9A74D3"/>
    <w:rsid w:val="4DAE09C3"/>
    <w:rsid w:val="4DAF1D9A"/>
    <w:rsid w:val="4DC33C6A"/>
    <w:rsid w:val="4DD16D74"/>
    <w:rsid w:val="4DD52ABB"/>
    <w:rsid w:val="4DD73812"/>
    <w:rsid w:val="4DDC141C"/>
    <w:rsid w:val="4DE27EAA"/>
    <w:rsid w:val="4DEF149C"/>
    <w:rsid w:val="4DF958F8"/>
    <w:rsid w:val="4E060933"/>
    <w:rsid w:val="4E0E1D70"/>
    <w:rsid w:val="4E0F02B7"/>
    <w:rsid w:val="4E1D1467"/>
    <w:rsid w:val="4E287553"/>
    <w:rsid w:val="4E335DF3"/>
    <w:rsid w:val="4E3C224B"/>
    <w:rsid w:val="4E415881"/>
    <w:rsid w:val="4E4243DC"/>
    <w:rsid w:val="4E437937"/>
    <w:rsid w:val="4E4575BD"/>
    <w:rsid w:val="4E464F00"/>
    <w:rsid w:val="4E49494B"/>
    <w:rsid w:val="4E4D7F12"/>
    <w:rsid w:val="4E51019B"/>
    <w:rsid w:val="4E6E6E67"/>
    <w:rsid w:val="4E7322AF"/>
    <w:rsid w:val="4E9C3915"/>
    <w:rsid w:val="4EA60558"/>
    <w:rsid w:val="4EA9308B"/>
    <w:rsid w:val="4EAE0A98"/>
    <w:rsid w:val="4EAF3667"/>
    <w:rsid w:val="4EB40929"/>
    <w:rsid w:val="4EBF389A"/>
    <w:rsid w:val="4ED46FDC"/>
    <w:rsid w:val="4EE33F05"/>
    <w:rsid w:val="4EE421D5"/>
    <w:rsid w:val="4EE42A71"/>
    <w:rsid w:val="4EEA1383"/>
    <w:rsid w:val="4EF25F2E"/>
    <w:rsid w:val="4F1425DB"/>
    <w:rsid w:val="4F152983"/>
    <w:rsid w:val="4F1E7706"/>
    <w:rsid w:val="4F21543B"/>
    <w:rsid w:val="4F277882"/>
    <w:rsid w:val="4F2C2030"/>
    <w:rsid w:val="4F382C48"/>
    <w:rsid w:val="4F383F06"/>
    <w:rsid w:val="4F456E75"/>
    <w:rsid w:val="4F481089"/>
    <w:rsid w:val="4F6416B7"/>
    <w:rsid w:val="4F6E3716"/>
    <w:rsid w:val="4F7051D8"/>
    <w:rsid w:val="4F79486D"/>
    <w:rsid w:val="4F7D163B"/>
    <w:rsid w:val="4F8861C3"/>
    <w:rsid w:val="4F9066D0"/>
    <w:rsid w:val="4F947177"/>
    <w:rsid w:val="4FC1278F"/>
    <w:rsid w:val="4FC135B8"/>
    <w:rsid w:val="4FC6357E"/>
    <w:rsid w:val="4FC66DA0"/>
    <w:rsid w:val="4FC66F64"/>
    <w:rsid w:val="4FD722EE"/>
    <w:rsid w:val="4FDD2DEA"/>
    <w:rsid w:val="4FE42EED"/>
    <w:rsid w:val="4FE57663"/>
    <w:rsid w:val="4FED14AA"/>
    <w:rsid w:val="4FF04A4A"/>
    <w:rsid w:val="4FFD05E3"/>
    <w:rsid w:val="50022B70"/>
    <w:rsid w:val="5002501D"/>
    <w:rsid w:val="50094D73"/>
    <w:rsid w:val="501759D8"/>
    <w:rsid w:val="501B28DA"/>
    <w:rsid w:val="501D14F5"/>
    <w:rsid w:val="502F60D1"/>
    <w:rsid w:val="50342B76"/>
    <w:rsid w:val="503469BB"/>
    <w:rsid w:val="503E34AB"/>
    <w:rsid w:val="503E37F6"/>
    <w:rsid w:val="50473BE6"/>
    <w:rsid w:val="50492544"/>
    <w:rsid w:val="50493772"/>
    <w:rsid w:val="504D77E8"/>
    <w:rsid w:val="50551EA9"/>
    <w:rsid w:val="508E59D1"/>
    <w:rsid w:val="50903BE8"/>
    <w:rsid w:val="50907AE4"/>
    <w:rsid w:val="50957FBE"/>
    <w:rsid w:val="50B30C0A"/>
    <w:rsid w:val="50B633C7"/>
    <w:rsid w:val="50BC16ED"/>
    <w:rsid w:val="50BD42C6"/>
    <w:rsid w:val="50C45232"/>
    <w:rsid w:val="50C51D79"/>
    <w:rsid w:val="50D30E43"/>
    <w:rsid w:val="50D46579"/>
    <w:rsid w:val="50DD7010"/>
    <w:rsid w:val="50DE4288"/>
    <w:rsid w:val="50E57F77"/>
    <w:rsid w:val="50E65242"/>
    <w:rsid w:val="50F32905"/>
    <w:rsid w:val="50F63538"/>
    <w:rsid w:val="50FF1BD7"/>
    <w:rsid w:val="510128D5"/>
    <w:rsid w:val="5107016F"/>
    <w:rsid w:val="51157303"/>
    <w:rsid w:val="512A28AD"/>
    <w:rsid w:val="51383C6A"/>
    <w:rsid w:val="513C724C"/>
    <w:rsid w:val="513D7919"/>
    <w:rsid w:val="514D2279"/>
    <w:rsid w:val="514E6DE1"/>
    <w:rsid w:val="515870AC"/>
    <w:rsid w:val="515F7A48"/>
    <w:rsid w:val="516505EF"/>
    <w:rsid w:val="51655BDB"/>
    <w:rsid w:val="518E3F9E"/>
    <w:rsid w:val="51960418"/>
    <w:rsid w:val="5199266A"/>
    <w:rsid w:val="519E0C7B"/>
    <w:rsid w:val="51A41584"/>
    <w:rsid w:val="51A4776B"/>
    <w:rsid w:val="51B537A8"/>
    <w:rsid w:val="51B73E10"/>
    <w:rsid w:val="51B95A7E"/>
    <w:rsid w:val="51BF67E7"/>
    <w:rsid w:val="51DA0BDC"/>
    <w:rsid w:val="51E4053A"/>
    <w:rsid w:val="51E748F1"/>
    <w:rsid w:val="51E94F9E"/>
    <w:rsid w:val="520C218E"/>
    <w:rsid w:val="52117444"/>
    <w:rsid w:val="5237209B"/>
    <w:rsid w:val="523E0931"/>
    <w:rsid w:val="52454DCC"/>
    <w:rsid w:val="52536FBC"/>
    <w:rsid w:val="52637BBA"/>
    <w:rsid w:val="527F092D"/>
    <w:rsid w:val="52830CDC"/>
    <w:rsid w:val="52831DE3"/>
    <w:rsid w:val="52904060"/>
    <w:rsid w:val="52927A5D"/>
    <w:rsid w:val="529923C8"/>
    <w:rsid w:val="529A0D91"/>
    <w:rsid w:val="52A50662"/>
    <w:rsid w:val="52AD5688"/>
    <w:rsid w:val="52AD658D"/>
    <w:rsid w:val="52B40A40"/>
    <w:rsid w:val="52B53E76"/>
    <w:rsid w:val="52BA04EC"/>
    <w:rsid w:val="52C81CDC"/>
    <w:rsid w:val="52D00909"/>
    <w:rsid w:val="52D7048F"/>
    <w:rsid w:val="52E12E5C"/>
    <w:rsid w:val="52E314A4"/>
    <w:rsid w:val="52E924A8"/>
    <w:rsid w:val="52ED5EF2"/>
    <w:rsid w:val="52F816E5"/>
    <w:rsid w:val="52F82839"/>
    <w:rsid w:val="52FE0524"/>
    <w:rsid w:val="530C27CF"/>
    <w:rsid w:val="53132194"/>
    <w:rsid w:val="531517C8"/>
    <w:rsid w:val="532D4EA6"/>
    <w:rsid w:val="533B2BB3"/>
    <w:rsid w:val="53422EDD"/>
    <w:rsid w:val="53514487"/>
    <w:rsid w:val="535E0361"/>
    <w:rsid w:val="53662428"/>
    <w:rsid w:val="537613C0"/>
    <w:rsid w:val="537B69B7"/>
    <w:rsid w:val="538A5797"/>
    <w:rsid w:val="538B4D53"/>
    <w:rsid w:val="538C2F68"/>
    <w:rsid w:val="539C07A0"/>
    <w:rsid w:val="53A401C6"/>
    <w:rsid w:val="53B60137"/>
    <w:rsid w:val="53BA1879"/>
    <w:rsid w:val="53C71BC7"/>
    <w:rsid w:val="53CC144F"/>
    <w:rsid w:val="53CC3695"/>
    <w:rsid w:val="53D41F6D"/>
    <w:rsid w:val="53EA12FD"/>
    <w:rsid w:val="53EF49B2"/>
    <w:rsid w:val="53FA52BF"/>
    <w:rsid w:val="53FD30D3"/>
    <w:rsid w:val="54094B89"/>
    <w:rsid w:val="540B314D"/>
    <w:rsid w:val="540D28DF"/>
    <w:rsid w:val="5427279E"/>
    <w:rsid w:val="54364771"/>
    <w:rsid w:val="543A21DD"/>
    <w:rsid w:val="545570F1"/>
    <w:rsid w:val="5465599B"/>
    <w:rsid w:val="547B0AC2"/>
    <w:rsid w:val="547C2445"/>
    <w:rsid w:val="54822BB1"/>
    <w:rsid w:val="54865468"/>
    <w:rsid w:val="54935938"/>
    <w:rsid w:val="549374B1"/>
    <w:rsid w:val="549459EF"/>
    <w:rsid w:val="54963B09"/>
    <w:rsid w:val="549B4426"/>
    <w:rsid w:val="549D211C"/>
    <w:rsid w:val="549E1C70"/>
    <w:rsid w:val="54A12FCC"/>
    <w:rsid w:val="54A32DA9"/>
    <w:rsid w:val="54B23DCF"/>
    <w:rsid w:val="54C61365"/>
    <w:rsid w:val="54C62B58"/>
    <w:rsid w:val="54CB5C4F"/>
    <w:rsid w:val="54CD1D2A"/>
    <w:rsid w:val="54D21177"/>
    <w:rsid w:val="54D31978"/>
    <w:rsid w:val="54DF7644"/>
    <w:rsid w:val="54E600FA"/>
    <w:rsid w:val="54F21C27"/>
    <w:rsid w:val="54F367F6"/>
    <w:rsid w:val="54FE3048"/>
    <w:rsid w:val="55053A0B"/>
    <w:rsid w:val="550A2EF7"/>
    <w:rsid w:val="550F7510"/>
    <w:rsid w:val="55215E17"/>
    <w:rsid w:val="55306036"/>
    <w:rsid w:val="55365E67"/>
    <w:rsid w:val="553962D0"/>
    <w:rsid w:val="553B0012"/>
    <w:rsid w:val="55490876"/>
    <w:rsid w:val="557200B4"/>
    <w:rsid w:val="55A176DC"/>
    <w:rsid w:val="55A9293A"/>
    <w:rsid w:val="55AA6129"/>
    <w:rsid w:val="55AC3575"/>
    <w:rsid w:val="55AF1E43"/>
    <w:rsid w:val="55BC3B9A"/>
    <w:rsid w:val="55C017F8"/>
    <w:rsid w:val="55C04DFF"/>
    <w:rsid w:val="55C10D3F"/>
    <w:rsid w:val="55C76DCB"/>
    <w:rsid w:val="55D15396"/>
    <w:rsid w:val="55DF0452"/>
    <w:rsid w:val="55E708CA"/>
    <w:rsid w:val="55F02908"/>
    <w:rsid w:val="56063F85"/>
    <w:rsid w:val="56127BBD"/>
    <w:rsid w:val="5627421D"/>
    <w:rsid w:val="563520F8"/>
    <w:rsid w:val="56353013"/>
    <w:rsid w:val="563650EB"/>
    <w:rsid w:val="56410432"/>
    <w:rsid w:val="5659302A"/>
    <w:rsid w:val="565E1151"/>
    <w:rsid w:val="567D4F37"/>
    <w:rsid w:val="56922176"/>
    <w:rsid w:val="56961AA7"/>
    <w:rsid w:val="569A075B"/>
    <w:rsid w:val="569E7B17"/>
    <w:rsid w:val="56A7065E"/>
    <w:rsid w:val="56B22127"/>
    <w:rsid w:val="56B63924"/>
    <w:rsid w:val="56B74428"/>
    <w:rsid w:val="56BA6FF6"/>
    <w:rsid w:val="56BF65F2"/>
    <w:rsid w:val="56C001C8"/>
    <w:rsid w:val="56C71151"/>
    <w:rsid w:val="56CE2616"/>
    <w:rsid w:val="56DA0187"/>
    <w:rsid w:val="56F51D9D"/>
    <w:rsid w:val="56FA72BE"/>
    <w:rsid w:val="56FD1FA7"/>
    <w:rsid w:val="570010E5"/>
    <w:rsid w:val="57041F6D"/>
    <w:rsid w:val="5704458D"/>
    <w:rsid w:val="570705DB"/>
    <w:rsid w:val="570C465C"/>
    <w:rsid w:val="570E09FD"/>
    <w:rsid w:val="57193F55"/>
    <w:rsid w:val="57273577"/>
    <w:rsid w:val="573344F6"/>
    <w:rsid w:val="57446945"/>
    <w:rsid w:val="575719D5"/>
    <w:rsid w:val="576816EE"/>
    <w:rsid w:val="57777891"/>
    <w:rsid w:val="577D4D01"/>
    <w:rsid w:val="578D0154"/>
    <w:rsid w:val="578E096E"/>
    <w:rsid w:val="57903350"/>
    <w:rsid w:val="579450B3"/>
    <w:rsid w:val="57967E17"/>
    <w:rsid w:val="57983E75"/>
    <w:rsid w:val="57A44EB3"/>
    <w:rsid w:val="57AF5338"/>
    <w:rsid w:val="57B83C73"/>
    <w:rsid w:val="57DE23A4"/>
    <w:rsid w:val="57DE7B1B"/>
    <w:rsid w:val="57F60BDC"/>
    <w:rsid w:val="57F92D72"/>
    <w:rsid w:val="57FB60E9"/>
    <w:rsid w:val="580112A5"/>
    <w:rsid w:val="581837D3"/>
    <w:rsid w:val="58224075"/>
    <w:rsid w:val="58232224"/>
    <w:rsid w:val="582A4631"/>
    <w:rsid w:val="582D5399"/>
    <w:rsid w:val="58331A46"/>
    <w:rsid w:val="583A4F1D"/>
    <w:rsid w:val="58454B6E"/>
    <w:rsid w:val="58496ABB"/>
    <w:rsid w:val="584A186B"/>
    <w:rsid w:val="584A7507"/>
    <w:rsid w:val="584F2763"/>
    <w:rsid w:val="58577273"/>
    <w:rsid w:val="586A21EA"/>
    <w:rsid w:val="588C31B0"/>
    <w:rsid w:val="58A615A5"/>
    <w:rsid w:val="58A664B4"/>
    <w:rsid w:val="58A9194C"/>
    <w:rsid w:val="58AE2E1E"/>
    <w:rsid w:val="58AF44EB"/>
    <w:rsid w:val="58B74C78"/>
    <w:rsid w:val="58C26E4E"/>
    <w:rsid w:val="58C4781B"/>
    <w:rsid w:val="58D046EE"/>
    <w:rsid w:val="58D90818"/>
    <w:rsid w:val="58DC7983"/>
    <w:rsid w:val="58DD23B8"/>
    <w:rsid w:val="58F80D45"/>
    <w:rsid w:val="58F8360B"/>
    <w:rsid w:val="58F92F2B"/>
    <w:rsid w:val="590B5379"/>
    <w:rsid w:val="59147699"/>
    <w:rsid w:val="59182A68"/>
    <w:rsid w:val="591F7B01"/>
    <w:rsid w:val="59314732"/>
    <w:rsid w:val="59411C23"/>
    <w:rsid w:val="5959779D"/>
    <w:rsid w:val="595F2E94"/>
    <w:rsid w:val="59692AF5"/>
    <w:rsid w:val="59734EF0"/>
    <w:rsid w:val="59770D8E"/>
    <w:rsid w:val="597B6782"/>
    <w:rsid w:val="59846F6B"/>
    <w:rsid w:val="598E7D64"/>
    <w:rsid w:val="599237BE"/>
    <w:rsid w:val="599C4762"/>
    <w:rsid w:val="59A44CCC"/>
    <w:rsid w:val="59AA2058"/>
    <w:rsid w:val="59BA261A"/>
    <w:rsid w:val="59BF4271"/>
    <w:rsid w:val="59C13340"/>
    <w:rsid w:val="59CE3A4E"/>
    <w:rsid w:val="59CF596E"/>
    <w:rsid w:val="59D324F8"/>
    <w:rsid w:val="59FE381D"/>
    <w:rsid w:val="5A0A4179"/>
    <w:rsid w:val="5A0C4C19"/>
    <w:rsid w:val="5A133D60"/>
    <w:rsid w:val="5A192C6E"/>
    <w:rsid w:val="5A1A793C"/>
    <w:rsid w:val="5A2028A1"/>
    <w:rsid w:val="5A246ACA"/>
    <w:rsid w:val="5A33672A"/>
    <w:rsid w:val="5A416A9F"/>
    <w:rsid w:val="5A467009"/>
    <w:rsid w:val="5A6707F7"/>
    <w:rsid w:val="5A7D16D3"/>
    <w:rsid w:val="5A867E27"/>
    <w:rsid w:val="5A8B091A"/>
    <w:rsid w:val="5A916FFC"/>
    <w:rsid w:val="5A970423"/>
    <w:rsid w:val="5A9C7675"/>
    <w:rsid w:val="5AAE7F92"/>
    <w:rsid w:val="5ABC1261"/>
    <w:rsid w:val="5ACB5234"/>
    <w:rsid w:val="5ACC17FB"/>
    <w:rsid w:val="5ACC4F73"/>
    <w:rsid w:val="5ACC603E"/>
    <w:rsid w:val="5AD03DC8"/>
    <w:rsid w:val="5AD133E2"/>
    <w:rsid w:val="5ADF7263"/>
    <w:rsid w:val="5AE2644A"/>
    <w:rsid w:val="5AE76244"/>
    <w:rsid w:val="5AEB4D95"/>
    <w:rsid w:val="5AEE10CF"/>
    <w:rsid w:val="5AF77E50"/>
    <w:rsid w:val="5AFC2D50"/>
    <w:rsid w:val="5AFC3A30"/>
    <w:rsid w:val="5AFF0340"/>
    <w:rsid w:val="5AFF25D0"/>
    <w:rsid w:val="5B053AA2"/>
    <w:rsid w:val="5B13665D"/>
    <w:rsid w:val="5B262CA4"/>
    <w:rsid w:val="5B2D21BD"/>
    <w:rsid w:val="5B345184"/>
    <w:rsid w:val="5B3C4687"/>
    <w:rsid w:val="5B3D045E"/>
    <w:rsid w:val="5B3E14A3"/>
    <w:rsid w:val="5B46754A"/>
    <w:rsid w:val="5B4A7E2E"/>
    <w:rsid w:val="5B4F6889"/>
    <w:rsid w:val="5B552D84"/>
    <w:rsid w:val="5B5B6858"/>
    <w:rsid w:val="5B613D25"/>
    <w:rsid w:val="5B6360E6"/>
    <w:rsid w:val="5B6B60B8"/>
    <w:rsid w:val="5B810432"/>
    <w:rsid w:val="5B832051"/>
    <w:rsid w:val="5B87139A"/>
    <w:rsid w:val="5B874C44"/>
    <w:rsid w:val="5B8931CC"/>
    <w:rsid w:val="5B98411D"/>
    <w:rsid w:val="5BD9702E"/>
    <w:rsid w:val="5BDB3375"/>
    <w:rsid w:val="5BEB14F2"/>
    <w:rsid w:val="5C036D68"/>
    <w:rsid w:val="5C07266B"/>
    <w:rsid w:val="5C0F5C5E"/>
    <w:rsid w:val="5C111A23"/>
    <w:rsid w:val="5C1B5EA3"/>
    <w:rsid w:val="5C1D524A"/>
    <w:rsid w:val="5C20741A"/>
    <w:rsid w:val="5C274C93"/>
    <w:rsid w:val="5C2C26AA"/>
    <w:rsid w:val="5C324D09"/>
    <w:rsid w:val="5C4836D0"/>
    <w:rsid w:val="5C4A41B3"/>
    <w:rsid w:val="5C4F3BEE"/>
    <w:rsid w:val="5C4F5532"/>
    <w:rsid w:val="5C5B6A9B"/>
    <w:rsid w:val="5C5F0925"/>
    <w:rsid w:val="5C670E64"/>
    <w:rsid w:val="5C67386C"/>
    <w:rsid w:val="5C6772E0"/>
    <w:rsid w:val="5C6A3B01"/>
    <w:rsid w:val="5C6B19CE"/>
    <w:rsid w:val="5C817120"/>
    <w:rsid w:val="5C8460CC"/>
    <w:rsid w:val="5C85532E"/>
    <w:rsid w:val="5C930F27"/>
    <w:rsid w:val="5C937734"/>
    <w:rsid w:val="5CAE3326"/>
    <w:rsid w:val="5CB00D56"/>
    <w:rsid w:val="5CB9735D"/>
    <w:rsid w:val="5CBA1D3A"/>
    <w:rsid w:val="5CBA6EB3"/>
    <w:rsid w:val="5CBB6898"/>
    <w:rsid w:val="5CC12C99"/>
    <w:rsid w:val="5CC22A6E"/>
    <w:rsid w:val="5CD562CC"/>
    <w:rsid w:val="5CE87949"/>
    <w:rsid w:val="5CED2E77"/>
    <w:rsid w:val="5CEF2175"/>
    <w:rsid w:val="5CF97969"/>
    <w:rsid w:val="5D035A25"/>
    <w:rsid w:val="5D0B4862"/>
    <w:rsid w:val="5D1240AE"/>
    <w:rsid w:val="5D3155E1"/>
    <w:rsid w:val="5D3324D7"/>
    <w:rsid w:val="5D3B3FC2"/>
    <w:rsid w:val="5D3F277F"/>
    <w:rsid w:val="5D402DD3"/>
    <w:rsid w:val="5D4A32B2"/>
    <w:rsid w:val="5D4D7B5E"/>
    <w:rsid w:val="5D4E3B9F"/>
    <w:rsid w:val="5D5424E6"/>
    <w:rsid w:val="5D59128F"/>
    <w:rsid w:val="5D686AED"/>
    <w:rsid w:val="5D7149EC"/>
    <w:rsid w:val="5D755375"/>
    <w:rsid w:val="5D80374B"/>
    <w:rsid w:val="5D835927"/>
    <w:rsid w:val="5D952328"/>
    <w:rsid w:val="5DA73319"/>
    <w:rsid w:val="5DA80DE1"/>
    <w:rsid w:val="5DB032D9"/>
    <w:rsid w:val="5DB61C71"/>
    <w:rsid w:val="5DC6083A"/>
    <w:rsid w:val="5DC869A9"/>
    <w:rsid w:val="5DD225B9"/>
    <w:rsid w:val="5DDB7723"/>
    <w:rsid w:val="5DDD4C8E"/>
    <w:rsid w:val="5DE63230"/>
    <w:rsid w:val="5DE85E1F"/>
    <w:rsid w:val="5DE87042"/>
    <w:rsid w:val="5DF0255D"/>
    <w:rsid w:val="5DF1785F"/>
    <w:rsid w:val="5DF21E4C"/>
    <w:rsid w:val="5DF55640"/>
    <w:rsid w:val="5DFB2EB7"/>
    <w:rsid w:val="5DFD13E8"/>
    <w:rsid w:val="5E02418C"/>
    <w:rsid w:val="5E0324A0"/>
    <w:rsid w:val="5E043223"/>
    <w:rsid w:val="5E3953B0"/>
    <w:rsid w:val="5E403FF5"/>
    <w:rsid w:val="5E4C36B6"/>
    <w:rsid w:val="5E542849"/>
    <w:rsid w:val="5E547766"/>
    <w:rsid w:val="5E575756"/>
    <w:rsid w:val="5E641CDC"/>
    <w:rsid w:val="5E671FD2"/>
    <w:rsid w:val="5E702017"/>
    <w:rsid w:val="5E906C18"/>
    <w:rsid w:val="5E914D18"/>
    <w:rsid w:val="5E976FC5"/>
    <w:rsid w:val="5E9C59EF"/>
    <w:rsid w:val="5E9F2F03"/>
    <w:rsid w:val="5EBF517D"/>
    <w:rsid w:val="5ED5780E"/>
    <w:rsid w:val="5ED96F94"/>
    <w:rsid w:val="5EDA5AF6"/>
    <w:rsid w:val="5EE232D0"/>
    <w:rsid w:val="5EF16ADA"/>
    <w:rsid w:val="5EF40099"/>
    <w:rsid w:val="5F055E34"/>
    <w:rsid w:val="5F0D11D5"/>
    <w:rsid w:val="5F152036"/>
    <w:rsid w:val="5F2174BC"/>
    <w:rsid w:val="5F3204F4"/>
    <w:rsid w:val="5F326F61"/>
    <w:rsid w:val="5F346A3D"/>
    <w:rsid w:val="5F3F04F3"/>
    <w:rsid w:val="5F5D4BE3"/>
    <w:rsid w:val="5F622194"/>
    <w:rsid w:val="5F6B7441"/>
    <w:rsid w:val="5F7820CB"/>
    <w:rsid w:val="5F916509"/>
    <w:rsid w:val="5F935061"/>
    <w:rsid w:val="5FA865EF"/>
    <w:rsid w:val="5FB675BA"/>
    <w:rsid w:val="5FB77434"/>
    <w:rsid w:val="5FC317C5"/>
    <w:rsid w:val="5FD22CDC"/>
    <w:rsid w:val="5FD95C03"/>
    <w:rsid w:val="5FDC1264"/>
    <w:rsid w:val="5FE009B3"/>
    <w:rsid w:val="5FE21D8E"/>
    <w:rsid w:val="5FE54197"/>
    <w:rsid w:val="5FF33C31"/>
    <w:rsid w:val="5FF822B0"/>
    <w:rsid w:val="5FF97FF3"/>
    <w:rsid w:val="60027ABF"/>
    <w:rsid w:val="600657CB"/>
    <w:rsid w:val="60090B84"/>
    <w:rsid w:val="600C0E2A"/>
    <w:rsid w:val="600E4239"/>
    <w:rsid w:val="60321D25"/>
    <w:rsid w:val="603240D0"/>
    <w:rsid w:val="60354DAE"/>
    <w:rsid w:val="603B5F4D"/>
    <w:rsid w:val="604753E2"/>
    <w:rsid w:val="606072DA"/>
    <w:rsid w:val="606F5E5E"/>
    <w:rsid w:val="60811F7E"/>
    <w:rsid w:val="60915841"/>
    <w:rsid w:val="60920D7E"/>
    <w:rsid w:val="609E0F68"/>
    <w:rsid w:val="60A2066C"/>
    <w:rsid w:val="60B93F25"/>
    <w:rsid w:val="60C21A11"/>
    <w:rsid w:val="60C23474"/>
    <w:rsid w:val="60C909ED"/>
    <w:rsid w:val="60CE69D6"/>
    <w:rsid w:val="60CF4C8F"/>
    <w:rsid w:val="60DB5A94"/>
    <w:rsid w:val="60E705AB"/>
    <w:rsid w:val="60E86DCB"/>
    <w:rsid w:val="60F322D5"/>
    <w:rsid w:val="60F827BF"/>
    <w:rsid w:val="61091D05"/>
    <w:rsid w:val="611A2248"/>
    <w:rsid w:val="611D4168"/>
    <w:rsid w:val="612C19FC"/>
    <w:rsid w:val="61346A71"/>
    <w:rsid w:val="613B3276"/>
    <w:rsid w:val="613B6C42"/>
    <w:rsid w:val="6143135A"/>
    <w:rsid w:val="61441FAF"/>
    <w:rsid w:val="614C6ABF"/>
    <w:rsid w:val="6157399F"/>
    <w:rsid w:val="61615F59"/>
    <w:rsid w:val="616528FF"/>
    <w:rsid w:val="61673382"/>
    <w:rsid w:val="6169336B"/>
    <w:rsid w:val="616F0BB5"/>
    <w:rsid w:val="617850FE"/>
    <w:rsid w:val="61882AAA"/>
    <w:rsid w:val="618C7F30"/>
    <w:rsid w:val="61912622"/>
    <w:rsid w:val="619429A3"/>
    <w:rsid w:val="619C23FF"/>
    <w:rsid w:val="619C2FB2"/>
    <w:rsid w:val="619F400D"/>
    <w:rsid w:val="61A36EF7"/>
    <w:rsid w:val="61B923F3"/>
    <w:rsid w:val="61C159E9"/>
    <w:rsid w:val="61C46E8B"/>
    <w:rsid w:val="61D71A58"/>
    <w:rsid w:val="61D75EC9"/>
    <w:rsid w:val="61DB16DC"/>
    <w:rsid w:val="61EA341B"/>
    <w:rsid w:val="61F81ED3"/>
    <w:rsid w:val="61FB3DE6"/>
    <w:rsid w:val="62061C14"/>
    <w:rsid w:val="621343A3"/>
    <w:rsid w:val="62164AFD"/>
    <w:rsid w:val="621920A8"/>
    <w:rsid w:val="621A0A6F"/>
    <w:rsid w:val="621C702B"/>
    <w:rsid w:val="6222463C"/>
    <w:rsid w:val="62270398"/>
    <w:rsid w:val="622812C4"/>
    <w:rsid w:val="62312A98"/>
    <w:rsid w:val="62315995"/>
    <w:rsid w:val="62360A7F"/>
    <w:rsid w:val="624A79BE"/>
    <w:rsid w:val="625666CF"/>
    <w:rsid w:val="625741ED"/>
    <w:rsid w:val="62583BE4"/>
    <w:rsid w:val="6260332B"/>
    <w:rsid w:val="626F2346"/>
    <w:rsid w:val="62716123"/>
    <w:rsid w:val="62775127"/>
    <w:rsid w:val="62780BB6"/>
    <w:rsid w:val="6280757E"/>
    <w:rsid w:val="6285108B"/>
    <w:rsid w:val="62852D1B"/>
    <w:rsid w:val="62855577"/>
    <w:rsid w:val="628E0BA3"/>
    <w:rsid w:val="628F3577"/>
    <w:rsid w:val="629735E4"/>
    <w:rsid w:val="629E197F"/>
    <w:rsid w:val="62B46D05"/>
    <w:rsid w:val="62BF11DF"/>
    <w:rsid w:val="62C26C44"/>
    <w:rsid w:val="62C628AF"/>
    <w:rsid w:val="62C86B2C"/>
    <w:rsid w:val="62E144AD"/>
    <w:rsid w:val="62F706CF"/>
    <w:rsid w:val="62FC3808"/>
    <w:rsid w:val="62FF3974"/>
    <w:rsid w:val="6309257E"/>
    <w:rsid w:val="630F12B4"/>
    <w:rsid w:val="63175F96"/>
    <w:rsid w:val="631E5932"/>
    <w:rsid w:val="631E6AB1"/>
    <w:rsid w:val="631F1803"/>
    <w:rsid w:val="631F69B7"/>
    <w:rsid w:val="63294A99"/>
    <w:rsid w:val="632F14AC"/>
    <w:rsid w:val="63442292"/>
    <w:rsid w:val="635B786D"/>
    <w:rsid w:val="63611073"/>
    <w:rsid w:val="63691F42"/>
    <w:rsid w:val="63694F82"/>
    <w:rsid w:val="63706FBB"/>
    <w:rsid w:val="63730DAC"/>
    <w:rsid w:val="63784FDE"/>
    <w:rsid w:val="639078FF"/>
    <w:rsid w:val="63A51E67"/>
    <w:rsid w:val="63B61E78"/>
    <w:rsid w:val="63B84C57"/>
    <w:rsid w:val="63BD4511"/>
    <w:rsid w:val="63D06A68"/>
    <w:rsid w:val="63E74C92"/>
    <w:rsid w:val="63F30DA8"/>
    <w:rsid w:val="63F33E26"/>
    <w:rsid w:val="63FE1B4A"/>
    <w:rsid w:val="64002E0C"/>
    <w:rsid w:val="64007173"/>
    <w:rsid w:val="640E2C1F"/>
    <w:rsid w:val="64254AC2"/>
    <w:rsid w:val="642D027A"/>
    <w:rsid w:val="64335CF7"/>
    <w:rsid w:val="643564D9"/>
    <w:rsid w:val="643A63B3"/>
    <w:rsid w:val="643F44C4"/>
    <w:rsid w:val="64587BDF"/>
    <w:rsid w:val="645D1704"/>
    <w:rsid w:val="646E3793"/>
    <w:rsid w:val="647A3390"/>
    <w:rsid w:val="647F05F0"/>
    <w:rsid w:val="648B0E90"/>
    <w:rsid w:val="648D1383"/>
    <w:rsid w:val="64922A35"/>
    <w:rsid w:val="64A30500"/>
    <w:rsid w:val="64A6472E"/>
    <w:rsid w:val="64BB236E"/>
    <w:rsid w:val="64C032F6"/>
    <w:rsid w:val="64C41155"/>
    <w:rsid w:val="64CA7568"/>
    <w:rsid w:val="64D23E69"/>
    <w:rsid w:val="64DA7B23"/>
    <w:rsid w:val="64DB48B6"/>
    <w:rsid w:val="64E736ED"/>
    <w:rsid w:val="64EB5CA6"/>
    <w:rsid w:val="64F23D29"/>
    <w:rsid w:val="6500123E"/>
    <w:rsid w:val="6503246A"/>
    <w:rsid w:val="650A374B"/>
    <w:rsid w:val="65267DC3"/>
    <w:rsid w:val="653242A1"/>
    <w:rsid w:val="654E4423"/>
    <w:rsid w:val="654E6F54"/>
    <w:rsid w:val="656D2F29"/>
    <w:rsid w:val="6583784A"/>
    <w:rsid w:val="658A6D41"/>
    <w:rsid w:val="658B14F1"/>
    <w:rsid w:val="65AF2CA9"/>
    <w:rsid w:val="65B944A1"/>
    <w:rsid w:val="65BA6AFB"/>
    <w:rsid w:val="65CE49DC"/>
    <w:rsid w:val="65D05CA1"/>
    <w:rsid w:val="65D21B77"/>
    <w:rsid w:val="65DD7906"/>
    <w:rsid w:val="65E300CE"/>
    <w:rsid w:val="65FD3FFE"/>
    <w:rsid w:val="6603412B"/>
    <w:rsid w:val="660F4461"/>
    <w:rsid w:val="66115155"/>
    <w:rsid w:val="66115188"/>
    <w:rsid w:val="66186D29"/>
    <w:rsid w:val="661C5640"/>
    <w:rsid w:val="66210809"/>
    <w:rsid w:val="66291291"/>
    <w:rsid w:val="662A5DDE"/>
    <w:rsid w:val="66433AEA"/>
    <w:rsid w:val="664B1B60"/>
    <w:rsid w:val="664F2F6E"/>
    <w:rsid w:val="665964A4"/>
    <w:rsid w:val="666D6F81"/>
    <w:rsid w:val="667777DA"/>
    <w:rsid w:val="667805D4"/>
    <w:rsid w:val="667A120E"/>
    <w:rsid w:val="668056EE"/>
    <w:rsid w:val="66845DF8"/>
    <w:rsid w:val="66864CEE"/>
    <w:rsid w:val="668C129A"/>
    <w:rsid w:val="66975912"/>
    <w:rsid w:val="6698425E"/>
    <w:rsid w:val="669C6E29"/>
    <w:rsid w:val="66A662BE"/>
    <w:rsid w:val="66A90DFD"/>
    <w:rsid w:val="66B63B98"/>
    <w:rsid w:val="66B850C6"/>
    <w:rsid w:val="66BC1A5D"/>
    <w:rsid w:val="66C03D5B"/>
    <w:rsid w:val="66D808E7"/>
    <w:rsid w:val="66DE745E"/>
    <w:rsid w:val="66E7644A"/>
    <w:rsid w:val="66EB2629"/>
    <w:rsid w:val="66F0053A"/>
    <w:rsid w:val="66F030F0"/>
    <w:rsid w:val="66F078DC"/>
    <w:rsid w:val="66F523A0"/>
    <w:rsid w:val="6704493C"/>
    <w:rsid w:val="67120D0B"/>
    <w:rsid w:val="671842C0"/>
    <w:rsid w:val="671F40B4"/>
    <w:rsid w:val="67207113"/>
    <w:rsid w:val="672316BC"/>
    <w:rsid w:val="672524A2"/>
    <w:rsid w:val="67332E10"/>
    <w:rsid w:val="67442B55"/>
    <w:rsid w:val="67515F84"/>
    <w:rsid w:val="6754387B"/>
    <w:rsid w:val="67563C64"/>
    <w:rsid w:val="67641CA6"/>
    <w:rsid w:val="67887DBD"/>
    <w:rsid w:val="678A36CA"/>
    <w:rsid w:val="679249E6"/>
    <w:rsid w:val="67926A9A"/>
    <w:rsid w:val="67927BA5"/>
    <w:rsid w:val="67936B8C"/>
    <w:rsid w:val="67AE4666"/>
    <w:rsid w:val="67AF7805"/>
    <w:rsid w:val="67B2525E"/>
    <w:rsid w:val="67BA47CA"/>
    <w:rsid w:val="67BA5F8A"/>
    <w:rsid w:val="67C70B88"/>
    <w:rsid w:val="67CD2799"/>
    <w:rsid w:val="67D13B94"/>
    <w:rsid w:val="67E47B3A"/>
    <w:rsid w:val="67E90B66"/>
    <w:rsid w:val="67F04A8D"/>
    <w:rsid w:val="67FF2494"/>
    <w:rsid w:val="68001AE2"/>
    <w:rsid w:val="680547EE"/>
    <w:rsid w:val="68066561"/>
    <w:rsid w:val="68126338"/>
    <w:rsid w:val="68201045"/>
    <w:rsid w:val="6824406F"/>
    <w:rsid w:val="682F633B"/>
    <w:rsid w:val="6836671B"/>
    <w:rsid w:val="68383950"/>
    <w:rsid w:val="683C1006"/>
    <w:rsid w:val="68612A3D"/>
    <w:rsid w:val="686430B6"/>
    <w:rsid w:val="686E18DB"/>
    <w:rsid w:val="687A51B6"/>
    <w:rsid w:val="68865837"/>
    <w:rsid w:val="688E350F"/>
    <w:rsid w:val="68931FC8"/>
    <w:rsid w:val="68B07D93"/>
    <w:rsid w:val="68BB6CC2"/>
    <w:rsid w:val="68C64819"/>
    <w:rsid w:val="68C7359A"/>
    <w:rsid w:val="68DB416F"/>
    <w:rsid w:val="68DE3134"/>
    <w:rsid w:val="68E5013C"/>
    <w:rsid w:val="68F240B9"/>
    <w:rsid w:val="68F36839"/>
    <w:rsid w:val="68F509B4"/>
    <w:rsid w:val="68F71FBD"/>
    <w:rsid w:val="68FA40EE"/>
    <w:rsid w:val="68FA700C"/>
    <w:rsid w:val="692068A8"/>
    <w:rsid w:val="69230854"/>
    <w:rsid w:val="69254B32"/>
    <w:rsid w:val="692661CE"/>
    <w:rsid w:val="693153E0"/>
    <w:rsid w:val="69350892"/>
    <w:rsid w:val="694064F0"/>
    <w:rsid w:val="695B4BD0"/>
    <w:rsid w:val="696F2DC2"/>
    <w:rsid w:val="697C2352"/>
    <w:rsid w:val="69872B85"/>
    <w:rsid w:val="698B6B00"/>
    <w:rsid w:val="698D33D7"/>
    <w:rsid w:val="69914C5D"/>
    <w:rsid w:val="699772FD"/>
    <w:rsid w:val="699A7D1E"/>
    <w:rsid w:val="699C1D97"/>
    <w:rsid w:val="69A7020E"/>
    <w:rsid w:val="69C75644"/>
    <w:rsid w:val="69D55C51"/>
    <w:rsid w:val="69DB35EE"/>
    <w:rsid w:val="69E04B87"/>
    <w:rsid w:val="69F242F0"/>
    <w:rsid w:val="69FA77A2"/>
    <w:rsid w:val="69FE18EF"/>
    <w:rsid w:val="6A077B2B"/>
    <w:rsid w:val="6A0D57A9"/>
    <w:rsid w:val="6A161220"/>
    <w:rsid w:val="6A203C92"/>
    <w:rsid w:val="6A204474"/>
    <w:rsid w:val="6A285530"/>
    <w:rsid w:val="6A2D038F"/>
    <w:rsid w:val="6A3450D6"/>
    <w:rsid w:val="6A353EEE"/>
    <w:rsid w:val="6A3A7497"/>
    <w:rsid w:val="6A4153D1"/>
    <w:rsid w:val="6A463716"/>
    <w:rsid w:val="6A4B5668"/>
    <w:rsid w:val="6A5B5FCA"/>
    <w:rsid w:val="6A641533"/>
    <w:rsid w:val="6A6D30AE"/>
    <w:rsid w:val="6A8901C5"/>
    <w:rsid w:val="6A9954EF"/>
    <w:rsid w:val="6A9D3B1B"/>
    <w:rsid w:val="6AA067B9"/>
    <w:rsid w:val="6AAA4ACE"/>
    <w:rsid w:val="6AAB2C8A"/>
    <w:rsid w:val="6ABA73A5"/>
    <w:rsid w:val="6AC406AC"/>
    <w:rsid w:val="6ACB41EE"/>
    <w:rsid w:val="6AEC5445"/>
    <w:rsid w:val="6AF5276D"/>
    <w:rsid w:val="6B081E55"/>
    <w:rsid w:val="6B1E4FA3"/>
    <w:rsid w:val="6B2A544F"/>
    <w:rsid w:val="6B41312C"/>
    <w:rsid w:val="6B472432"/>
    <w:rsid w:val="6B50632B"/>
    <w:rsid w:val="6B5816D7"/>
    <w:rsid w:val="6B5C7DEC"/>
    <w:rsid w:val="6B5F6241"/>
    <w:rsid w:val="6B653058"/>
    <w:rsid w:val="6B6F4786"/>
    <w:rsid w:val="6B792615"/>
    <w:rsid w:val="6B7C0742"/>
    <w:rsid w:val="6B824F92"/>
    <w:rsid w:val="6B863716"/>
    <w:rsid w:val="6BA36552"/>
    <w:rsid w:val="6BC50569"/>
    <w:rsid w:val="6BC60E30"/>
    <w:rsid w:val="6BD12C1C"/>
    <w:rsid w:val="6BD47E40"/>
    <w:rsid w:val="6BD550DD"/>
    <w:rsid w:val="6BE66B9A"/>
    <w:rsid w:val="6BE94A92"/>
    <w:rsid w:val="6BEA3CBA"/>
    <w:rsid w:val="6BF25152"/>
    <w:rsid w:val="6BFD25E2"/>
    <w:rsid w:val="6C067416"/>
    <w:rsid w:val="6C130C57"/>
    <w:rsid w:val="6C2306B6"/>
    <w:rsid w:val="6C235193"/>
    <w:rsid w:val="6C262F0C"/>
    <w:rsid w:val="6C2D73FA"/>
    <w:rsid w:val="6C3A71AA"/>
    <w:rsid w:val="6C4013C8"/>
    <w:rsid w:val="6C48392B"/>
    <w:rsid w:val="6C543A21"/>
    <w:rsid w:val="6C7413FA"/>
    <w:rsid w:val="6C826936"/>
    <w:rsid w:val="6C8F7554"/>
    <w:rsid w:val="6C9360FF"/>
    <w:rsid w:val="6CC20FE3"/>
    <w:rsid w:val="6CC81C69"/>
    <w:rsid w:val="6CC96795"/>
    <w:rsid w:val="6CCA7735"/>
    <w:rsid w:val="6CD15BE3"/>
    <w:rsid w:val="6CD97846"/>
    <w:rsid w:val="6CDC6E5B"/>
    <w:rsid w:val="6D1312D5"/>
    <w:rsid w:val="6D155C5C"/>
    <w:rsid w:val="6D233582"/>
    <w:rsid w:val="6D313AEC"/>
    <w:rsid w:val="6D3159BE"/>
    <w:rsid w:val="6D46164B"/>
    <w:rsid w:val="6D560541"/>
    <w:rsid w:val="6D5D1E03"/>
    <w:rsid w:val="6D5E2F15"/>
    <w:rsid w:val="6D76663C"/>
    <w:rsid w:val="6D7D246C"/>
    <w:rsid w:val="6D7D3037"/>
    <w:rsid w:val="6D7D628B"/>
    <w:rsid w:val="6D8B5801"/>
    <w:rsid w:val="6D8F655F"/>
    <w:rsid w:val="6D967D6F"/>
    <w:rsid w:val="6D9B1405"/>
    <w:rsid w:val="6D9D413F"/>
    <w:rsid w:val="6DA037B8"/>
    <w:rsid w:val="6DB97DE8"/>
    <w:rsid w:val="6DBE2FB8"/>
    <w:rsid w:val="6DC3385B"/>
    <w:rsid w:val="6DC97D6B"/>
    <w:rsid w:val="6DCD3076"/>
    <w:rsid w:val="6DCF0318"/>
    <w:rsid w:val="6DD3225C"/>
    <w:rsid w:val="6DD46BAF"/>
    <w:rsid w:val="6DD51FD6"/>
    <w:rsid w:val="6DD64520"/>
    <w:rsid w:val="6DE315C9"/>
    <w:rsid w:val="6DE63628"/>
    <w:rsid w:val="6DF17111"/>
    <w:rsid w:val="6DF559B0"/>
    <w:rsid w:val="6DF67499"/>
    <w:rsid w:val="6DFC1DE2"/>
    <w:rsid w:val="6E056B89"/>
    <w:rsid w:val="6E05733E"/>
    <w:rsid w:val="6E0D1029"/>
    <w:rsid w:val="6E287E89"/>
    <w:rsid w:val="6E323094"/>
    <w:rsid w:val="6E3553D0"/>
    <w:rsid w:val="6E3E46F4"/>
    <w:rsid w:val="6E4635BF"/>
    <w:rsid w:val="6E4C08EC"/>
    <w:rsid w:val="6E544C45"/>
    <w:rsid w:val="6E5D3D29"/>
    <w:rsid w:val="6E615A2A"/>
    <w:rsid w:val="6E7C3F72"/>
    <w:rsid w:val="6E7F283D"/>
    <w:rsid w:val="6E823961"/>
    <w:rsid w:val="6EC41A12"/>
    <w:rsid w:val="6EC47FEE"/>
    <w:rsid w:val="6EC82A04"/>
    <w:rsid w:val="6EE96843"/>
    <w:rsid w:val="6F093E12"/>
    <w:rsid w:val="6F4003D8"/>
    <w:rsid w:val="6F43558C"/>
    <w:rsid w:val="6F452112"/>
    <w:rsid w:val="6F4E7777"/>
    <w:rsid w:val="6F541699"/>
    <w:rsid w:val="6F605489"/>
    <w:rsid w:val="6F631BCF"/>
    <w:rsid w:val="6F703EFC"/>
    <w:rsid w:val="6F8812B5"/>
    <w:rsid w:val="6F8814B8"/>
    <w:rsid w:val="6F92079B"/>
    <w:rsid w:val="6F946C32"/>
    <w:rsid w:val="6F991AC8"/>
    <w:rsid w:val="6F9F0FA2"/>
    <w:rsid w:val="6FA35470"/>
    <w:rsid w:val="6FA93828"/>
    <w:rsid w:val="6FAD45E3"/>
    <w:rsid w:val="6FB10502"/>
    <w:rsid w:val="6FC31995"/>
    <w:rsid w:val="6FCC38BC"/>
    <w:rsid w:val="6FD9080B"/>
    <w:rsid w:val="6FDE70E2"/>
    <w:rsid w:val="6FE212C4"/>
    <w:rsid w:val="6FEC696D"/>
    <w:rsid w:val="6FF122CD"/>
    <w:rsid w:val="6FF42ECF"/>
    <w:rsid w:val="70100E15"/>
    <w:rsid w:val="702621F4"/>
    <w:rsid w:val="702A21D5"/>
    <w:rsid w:val="704B19C6"/>
    <w:rsid w:val="70584CAE"/>
    <w:rsid w:val="70594994"/>
    <w:rsid w:val="7060672C"/>
    <w:rsid w:val="706124A1"/>
    <w:rsid w:val="706D7D8B"/>
    <w:rsid w:val="707864E8"/>
    <w:rsid w:val="70834FCB"/>
    <w:rsid w:val="7087740C"/>
    <w:rsid w:val="70B040C3"/>
    <w:rsid w:val="70BD0AFD"/>
    <w:rsid w:val="70C20D61"/>
    <w:rsid w:val="70D5345E"/>
    <w:rsid w:val="70E14F10"/>
    <w:rsid w:val="70EE7DA8"/>
    <w:rsid w:val="70EF5D23"/>
    <w:rsid w:val="70F97256"/>
    <w:rsid w:val="70FF3D6F"/>
    <w:rsid w:val="71054DB9"/>
    <w:rsid w:val="7110207E"/>
    <w:rsid w:val="71127208"/>
    <w:rsid w:val="71132420"/>
    <w:rsid w:val="712C079E"/>
    <w:rsid w:val="712F4711"/>
    <w:rsid w:val="71315999"/>
    <w:rsid w:val="7133109A"/>
    <w:rsid w:val="71333658"/>
    <w:rsid w:val="713E4B4E"/>
    <w:rsid w:val="714B2BD6"/>
    <w:rsid w:val="715C48FD"/>
    <w:rsid w:val="71657065"/>
    <w:rsid w:val="71670588"/>
    <w:rsid w:val="716F4FB4"/>
    <w:rsid w:val="71703081"/>
    <w:rsid w:val="717A06FD"/>
    <w:rsid w:val="718C34D7"/>
    <w:rsid w:val="718F74E6"/>
    <w:rsid w:val="71923F85"/>
    <w:rsid w:val="719271DF"/>
    <w:rsid w:val="7198534D"/>
    <w:rsid w:val="71A64A02"/>
    <w:rsid w:val="71B43FF7"/>
    <w:rsid w:val="71C34CB7"/>
    <w:rsid w:val="71C55400"/>
    <w:rsid w:val="71C57011"/>
    <w:rsid w:val="71D40814"/>
    <w:rsid w:val="71E576E0"/>
    <w:rsid w:val="71F52A14"/>
    <w:rsid w:val="72094025"/>
    <w:rsid w:val="7209518F"/>
    <w:rsid w:val="720C61B4"/>
    <w:rsid w:val="720F3617"/>
    <w:rsid w:val="72132382"/>
    <w:rsid w:val="72281584"/>
    <w:rsid w:val="72323883"/>
    <w:rsid w:val="72334533"/>
    <w:rsid w:val="72377896"/>
    <w:rsid w:val="723C1536"/>
    <w:rsid w:val="72597039"/>
    <w:rsid w:val="72634604"/>
    <w:rsid w:val="728A0B92"/>
    <w:rsid w:val="7294399A"/>
    <w:rsid w:val="7294761D"/>
    <w:rsid w:val="72980221"/>
    <w:rsid w:val="729D3565"/>
    <w:rsid w:val="72A7546D"/>
    <w:rsid w:val="72A938EB"/>
    <w:rsid w:val="72AE46BF"/>
    <w:rsid w:val="72B04ABA"/>
    <w:rsid w:val="72B4722E"/>
    <w:rsid w:val="72BB4801"/>
    <w:rsid w:val="72C71825"/>
    <w:rsid w:val="72CA432F"/>
    <w:rsid w:val="72CC2E2F"/>
    <w:rsid w:val="72CE4B8E"/>
    <w:rsid w:val="72CF6D4A"/>
    <w:rsid w:val="72D21B8A"/>
    <w:rsid w:val="72DD4A80"/>
    <w:rsid w:val="72DF6220"/>
    <w:rsid w:val="72E10BC6"/>
    <w:rsid w:val="72E2040D"/>
    <w:rsid w:val="72E70907"/>
    <w:rsid w:val="72E70E66"/>
    <w:rsid w:val="72E8280C"/>
    <w:rsid w:val="72EE0F72"/>
    <w:rsid w:val="72EF0F60"/>
    <w:rsid w:val="72F43C7E"/>
    <w:rsid w:val="72FB5507"/>
    <w:rsid w:val="7301193F"/>
    <w:rsid w:val="73026831"/>
    <w:rsid w:val="73035B6C"/>
    <w:rsid w:val="730B1B7F"/>
    <w:rsid w:val="730F52CA"/>
    <w:rsid w:val="731C29AB"/>
    <w:rsid w:val="73255AB2"/>
    <w:rsid w:val="73293C9E"/>
    <w:rsid w:val="732B0F67"/>
    <w:rsid w:val="73314A31"/>
    <w:rsid w:val="733C7A2B"/>
    <w:rsid w:val="73402F17"/>
    <w:rsid w:val="73477783"/>
    <w:rsid w:val="73742955"/>
    <w:rsid w:val="7387566C"/>
    <w:rsid w:val="73901DAD"/>
    <w:rsid w:val="739C77E2"/>
    <w:rsid w:val="73A46746"/>
    <w:rsid w:val="73D15969"/>
    <w:rsid w:val="73D35281"/>
    <w:rsid w:val="73D4213C"/>
    <w:rsid w:val="73E45B43"/>
    <w:rsid w:val="73F708CB"/>
    <w:rsid w:val="73FD1E16"/>
    <w:rsid w:val="74072177"/>
    <w:rsid w:val="740E0C40"/>
    <w:rsid w:val="74106624"/>
    <w:rsid w:val="7410761F"/>
    <w:rsid w:val="742C7068"/>
    <w:rsid w:val="742F5074"/>
    <w:rsid w:val="743A5268"/>
    <w:rsid w:val="744045BB"/>
    <w:rsid w:val="744C4222"/>
    <w:rsid w:val="745A22D6"/>
    <w:rsid w:val="745F630A"/>
    <w:rsid w:val="74613165"/>
    <w:rsid w:val="747B2328"/>
    <w:rsid w:val="747F12CA"/>
    <w:rsid w:val="74823492"/>
    <w:rsid w:val="748550A4"/>
    <w:rsid w:val="749622FF"/>
    <w:rsid w:val="74A05812"/>
    <w:rsid w:val="74A342E9"/>
    <w:rsid w:val="74A37F2E"/>
    <w:rsid w:val="74AD5316"/>
    <w:rsid w:val="74B159F7"/>
    <w:rsid w:val="74B9142B"/>
    <w:rsid w:val="74BE4135"/>
    <w:rsid w:val="74D04C97"/>
    <w:rsid w:val="74DA7AC4"/>
    <w:rsid w:val="74DD032D"/>
    <w:rsid w:val="74F155AB"/>
    <w:rsid w:val="74F1597B"/>
    <w:rsid w:val="74F2435C"/>
    <w:rsid w:val="74F4478A"/>
    <w:rsid w:val="74F73858"/>
    <w:rsid w:val="750E479F"/>
    <w:rsid w:val="750F7A2F"/>
    <w:rsid w:val="752E1C16"/>
    <w:rsid w:val="752E2D4D"/>
    <w:rsid w:val="7538718B"/>
    <w:rsid w:val="754615C4"/>
    <w:rsid w:val="754B3175"/>
    <w:rsid w:val="7561323F"/>
    <w:rsid w:val="756B2B3E"/>
    <w:rsid w:val="757F2413"/>
    <w:rsid w:val="757F7839"/>
    <w:rsid w:val="758A255F"/>
    <w:rsid w:val="75965663"/>
    <w:rsid w:val="75A347D6"/>
    <w:rsid w:val="75AA7E6F"/>
    <w:rsid w:val="75BD7E7C"/>
    <w:rsid w:val="75C755F8"/>
    <w:rsid w:val="75CC1290"/>
    <w:rsid w:val="75CE3FBF"/>
    <w:rsid w:val="75D557D4"/>
    <w:rsid w:val="75E63395"/>
    <w:rsid w:val="75E909BE"/>
    <w:rsid w:val="75EC320F"/>
    <w:rsid w:val="75EC6BE1"/>
    <w:rsid w:val="75F678FB"/>
    <w:rsid w:val="760134D9"/>
    <w:rsid w:val="76060B52"/>
    <w:rsid w:val="76072A59"/>
    <w:rsid w:val="76085BB4"/>
    <w:rsid w:val="760A19D2"/>
    <w:rsid w:val="76186A2C"/>
    <w:rsid w:val="762179D1"/>
    <w:rsid w:val="762203AC"/>
    <w:rsid w:val="765511C8"/>
    <w:rsid w:val="765B462B"/>
    <w:rsid w:val="766B0FD9"/>
    <w:rsid w:val="766B62B6"/>
    <w:rsid w:val="766D3732"/>
    <w:rsid w:val="767B2BB9"/>
    <w:rsid w:val="76955B84"/>
    <w:rsid w:val="76AB1C47"/>
    <w:rsid w:val="76AB66B8"/>
    <w:rsid w:val="76B50CB7"/>
    <w:rsid w:val="76C14507"/>
    <w:rsid w:val="76C4094C"/>
    <w:rsid w:val="76E27910"/>
    <w:rsid w:val="76F015F7"/>
    <w:rsid w:val="76FA3878"/>
    <w:rsid w:val="76FB3DE6"/>
    <w:rsid w:val="76FD35AD"/>
    <w:rsid w:val="77094BDF"/>
    <w:rsid w:val="77111B01"/>
    <w:rsid w:val="771E2A8F"/>
    <w:rsid w:val="77203427"/>
    <w:rsid w:val="77251941"/>
    <w:rsid w:val="772C0E98"/>
    <w:rsid w:val="772C3C3C"/>
    <w:rsid w:val="772F2DA3"/>
    <w:rsid w:val="773176C8"/>
    <w:rsid w:val="77382AAE"/>
    <w:rsid w:val="774061BE"/>
    <w:rsid w:val="77452AD7"/>
    <w:rsid w:val="77496A84"/>
    <w:rsid w:val="774A15F3"/>
    <w:rsid w:val="7753742F"/>
    <w:rsid w:val="775838F3"/>
    <w:rsid w:val="7763211E"/>
    <w:rsid w:val="776B0825"/>
    <w:rsid w:val="777A0472"/>
    <w:rsid w:val="77882C04"/>
    <w:rsid w:val="778A6C33"/>
    <w:rsid w:val="778B4DFF"/>
    <w:rsid w:val="778C6B93"/>
    <w:rsid w:val="779203A0"/>
    <w:rsid w:val="7799417E"/>
    <w:rsid w:val="779A2A38"/>
    <w:rsid w:val="779F1DFC"/>
    <w:rsid w:val="779F5386"/>
    <w:rsid w:val="77A5607A"/>
    <w:rsid w:val="77AC2CE3"/>
    <w:rsid w:val="77B520F5"/>
    <w:rsid w:val="77BD7CA4"/>
    <w:rsid w:val="77C34594"/>
    <w:rsid w:val="77C34920"/>
    <w:rsid w:val="77C56D4D"/>
    <w:rsid w:val="77D7339E"/>
    <w:rsid w:val="77DD1770"/>
    <w:rsid w:val="77F17064"/>
    <w:rsid w:val="78026893"/>
    <w:rsid w:val="78136F8C"/>
    <w:rsid w:val="781E0C37"/>
    <w:rsid w:val="782C4AE1"/>
    <w:rsid w:val="783863BE"/>
    <w:rsid w:val="783F5007"/>
    <w:rsid w:val="784847E6"/>
    <w:rsid w:val="78491144"/>
    <w:rsid w:val="784F3730"/>
    <w:rsid w:val="785130AB"/>
    <w:rsid w:val="785521F9"/>
    <w:rsid w:val="785D640E"/>
    <w:rsid w:val="786939F1"/>
    <w:rsid w:val="78694E3F"/>
    <w:rsid w:val="78732C75"/>
    <w:rsid w:val="78830C98"/>
    <w:rsid w:val="78866E03"/>
    <w:rsid w:val="788B25A3"/>
    <w:rsid w:val="78915481"/>
    <w:rsid w:val="78954581"/>
    <w:rsid w:val="78993BB6"/>
    <w:rsid w:val="78A90299"/>
    <w:rsid w:val="78AE64D8"/>
    <w:rsid w:val="78BA6696"/>
    <w:rsid w:val="78BA7D6D"/>
    <w:rsid w:val="78BC118C"/>
    <w:rsid w:val="78C12B81"/>
    <w:rsid w:val="78C52A1F"/>
    <w:rsid w:val="78D91316"/>
    <w:rsid w:val="78DB34E3"/>
    <w:rsid w:val="78E9337D"/>
    <w:rsid w:val="78F27A61"/>
    <w:rsid w:val="78F8584F"/>
    <w:rsid w:val="78FA57BF"/>
    <w:rsid w:val="78FF2FC3"/>
    <w:rsid w:val="790B6418"/>
    <w:rsid w:val="790D1945"/>
    <w:rsid w:val="791142A1"/>
    <w:rsid w:val="792B4AA7"/>
    <w:rsid w:val="793B0EAB"/>
    <w:rsid w:val="793E72A4"/>
    <w:rsid w:val="79474980"/>
    <w:rsid w:val="7955680A"/>
    <w:rsid w:val="795F7E56"/>
    <w:rsid w:val="796A2FD5"/>
    <w:rsid w:val="79784312"/>
    <w:rsid w:val="79885821"/>
    <w:rsid w:val="79A3483D"/>
    <w:rsid w:val="79BC18A6"/>
    <w:rsid w:val="79C677FD"/>
    <w:rsid w:val="79D41F6B"/>
    <w:rsid w:val="79D46435"/>
    <w:rsid w:val="79DE4376"/>
    <w:rsid w:val="79E12882"/>
    <w:rsid w:val="79E31F00"/>
    <w:rsid w:val="79E533D5"/>
    <w:rsid w:val="79E960AE"/>
    <w:rsid w:val="7A010B3C"/>
    <w:rsid w:val="7A0B43FB"/>
    <w:rsid w:val="7A0C6344"/>
    <w:rsid w:val="7A0D484D"/>
    <w:rsid w:val="7A0F6A82"/>
    <w:rsid w:val="7A131E1B"/>
    <w:rsid w:val="7A1F5EA2"/>
    <w:rsid w:val="7A2340F3"/>
    <w:rsid w:val="7A261BF6"/>
    <w:rsid w:val="7A314A00"/>
    <w:rsid w:val="7A4271D5"/>
    <w:rsid w:val="7A4271D8"/>
    <w:rsid w:val="7A4F36BE"/>
    <w:rsid w:val="7A5F5873"/>
    <w:rsid w:val="7A622B64"/>
    <w:rsid w:val="7A630061"/>
    <w:rsid w:val="7A683D20"/>
    <w:rsid w:val="7A6C7F81"/>
    <w:rsid w:val="7A7F1731"/>
    <w:rsid w:val="7A895FBC"/>
    <w:rsid w:val="7A954373"/>
    <w:rsid w:val="7AAC0538"/>
    <w:rsid w:val="7AAF3F11"/>
    <w:rsid w:val="7AC21A3D"/>
    <w:rsid w:val="7AC41418"/>
    <w:rsid w:val="7ACE1685"/>
    <w:rsid w:val="7AEE7FE0"/>
    <w:rsid w:val="7AF31832"/>
    <w:rsid w:val="7AF541DF"/>
    <w:rsid w:val="7AF75C2D"/>
    <w:rsid w:val="7AFA5156"/>
    <w:rsid w:val="7B011A43"/>
    <w:rsid w:val="7B061145"/>
    <w:rsid w:val="7B0A105B"/>
    <w:rsid w:val="7B0F5208"/>
    <w:rsid w:val="7B1A7D39"/>
    <w:rsid w:val="7B255716"/>
    <w:rsid w:val="7B2E771F"/>
    <w:rsid w:val="7B3C54EB"/>
    <w:rsid w:val="7B3E5C4D"/>
    <w:rsid w:val="7B3F08C3"/>
    <w:rsid w:val="7B4A1205"/>
    <w:rsid w:val="7B53510B"/>
    <w:rsid w:val="7B563B88"/>
    <w:rsid w:val="7B5857F7"/>
    <w:rsid w:val="7B5C5BB7"/>
    <w:rsid w:val="7B60019A"/>
    <w:rsid w:val="7B6B5C44"/>
    <w:rsid w:val="7B6C0973"/>
    <w:rsid w:val="7B714CA3"/>
    <w:rsid w:val="7B781870"/>
    <w:rsid w:val="7B7C4771"/>
    <w:rsid w:val="7B7E553A"/>
    <w:rsid w:val="7B8E1ECB"/>
    <w:rsid w:val="7B97781D"/>
    <w:rsid w:val="7B996E0A"/>
    <w:rsid w:val="7B9D7D9B"/>
    <w:rsid w:val="7B9E291F"/>
    <w:rsid w:val="7BA007F2"/>
    <w:rsid w:val="7BA25C0C"/>
    <w:rsid w:val="7BA41446"/>
    <w:rsid w:val="7BAE5DCB"/>
    <w:rsid w:val="7BCB3ED0"/>
    <w:rsid w:val="7BCC5340"/>
    <w:rsid w:val="7BD60225"/>
    <w:rsid w:val="7BDB6C5E"/>
    <w:rsid w:val="7BDD293F"/>
    <w:rsid w:val="7BE83543"/>
    <w:rsid w:val="7BEE1B84"/>
    <w:rsid w:val="7BF03704"/>
    <w:rsid w:val="7BFA1F80"/>
    <w:rsid w:val="7BFC5951"/>
    <w:rsid w:val="7C114E6D"/>
    <w:rsid w:val="7C232592"/>
    <w:rsid w:val="7C313422"/>
    <w:rsid w:val="7C336D13"/>
    <w:rsid w:val="7C347C1A"/>
    <w:rsid w:val="7C384234"/>
    <w:rsid w:val="7C3A1C72"/>
    <w:rsid w:val="7C433B18"/>
    <w:rsid w:val="7C465EC6"/>
    <w:rsid w:val="7C4A04FD"/>
    <w:rsid w:val="7C6D3836"/>
    <w:rsid w:val="7C6F0135"/>
    <w:rsid w:val="7C717BEB"/>
    <w:rsid w:val="7C807DF2"/>
    <w:rsid w:val="7C816AEA"/>
    <w:rsid w:val="7C871EAD"/>
    <w:rsid w:val="7C9512E5"/>
    <w:rsid w:val="7CB91EC1"/>
    <w:rsid w:val="7CBF60E0"/>
    <w:rsid w:val="7CCD3EEA"/>
    <w:rsid w:val="7CD20200"/>
    <w:rsid w:val="7CD46CE8"/>
    <w:rsid w:val="7CDB3D72"/>
    <w:rsid w:val="7CDC21E9"/>
    <w:rsid w:val="7CF057CA"/>
    <w:rsid w:val="7CF54E2F"/>
    <w:rsid w:val="7D037E4D"/>
    <w:rsid w:val="7D0C2802"/>
    <w:rsid w:val="7D373582"/>
    <w:rsid w:val="7D38106F"/>
    <w:rsid w:val="7D3A3FCB"/>
    <w:rsid w:val="7D436CE4"/>
    <w:rsid w:val="7D501639"/>
    <w:rsid w:val="7D586B71"/>
    <w:rsid w:val="7D59712D"/>
    <w:rsid w:val="7D6929AB"/>
    <w:rsid w:val="7D716461"/>
    <w:rsid w:val="7D7315C2"/>
    <w:rsid w:val="7D8F1C37"/>
    <w:rsid w:val="7D902F02"/>
    <w:rsid w:val="7DA05052"/>
    <w:rsid w:val="7DA52F91"/>
    <w:rsid w:val="7DAA2031"/>
    <w:rsid w:val="7DB6492B"/>
    <w:rsid w:val="7DC43E3D"/>
    <w:rsid w:val="7DC46246"/>
    <w:rsid w:val="7DC640A8"/>
    <w:rsid w:val="7DD37458"/>
    <w:rsid w:val="7DD64895"/>
    <w:rsid w:val="7DD920E5"/>
    <w:rsid w:val="7DDF76AE"/>
    <w:rsid w:val="7DEB698E"/>
    <w:rsid w:val="7DF24EDA"/>
    <w:rsid w:val="7DFB1E0D"/>
    <w:rsid w:val="7DFC20D4"/>
    <w:rsid w:val="7E076B19"/>
    <w:rsid w:val="7E0D755D"/>
    <w:rsid w:val="7E130E4E"/>
    <w:rsid w:val="7E1C225F"/>
    <w:rsid w:val="7E1C6793"/>
    <w:rsid w:val="7E1E13D7"/>
    <w:rsid w:val="7E2D1D4A"/>
    <w:rsid w:val="7E4546D9"/>
    <w:rsid w:val="7E4746A1"/>
    <w:rsid w:val="7E482855"/>
    <w:rsid w:val="7E4E66EB"/>
    <w:rsid w:val="7E51400A"/>
    <w:rsid w:val="7E516415"/>
    <w:rsid w:val="7E551F90"/>
    <w:rsid w:val="7E553215"/>
    <w:rsid w:val="7E5576B9"/>
    <w:rsid w:val="7E8D6CBD"/>
    <w:rsid w:val="7E942EE5"/>
    <w:rsid w:val="7EB53214"/>
    <w:rsid w:val="7EBA3AE2"/>
    <w:rsid w:val="7EBC5784"/>
    <w:rsid w:val="7ECF222A"/>
    <w:rsid w:val="7ED05FF3"/>
    <w:rsid w:val="7ED3193E"/>
    <w:rsid w:val="7EDB7488"/>
    <w:rsid w:val="7EEE2E1E"/>
    <w:rsid w:val="7EEF61D9"/>
    <w:rsid w:val="7EF22707"/>
    <w:rsid w:val="7EFA4B57"/>
    <w:rsid w:val="7F0D2526"/>
    <w:rsid w:val="7F0D393D"/>
    <w:rsid w:val="7F1277FB"/>
    <w:rsid w:val="7F185A2F"/>
    <w:rsid w:val="7F1B2327"/>
    <w:rsid w:val="7F21223F"/>
    <w:rsid w:val="7F471B42"/>
    <w:rsid w:val="7F487DDB"/>
    <w:rsid w:val="7F5F237E"/>
    <w:rsid w:val="7F6073C9"/>
    <w:rsid w:val="7F61298D"/>
    <w:rsid w:val="7F63797B"/>
    <w:rsid w:val="7F6751EB"/>
    <w:rsid w:val="7F6F519A"/>
    <w:rsid w:val="7F7A7466"/>
    <w:rsid w:val="7F8C2ACE"/>
    <w:rsid w:val="7F8C7E4C"/>
    <w:rsid w:val="7F8D77FD"/>
    <w:rsid w:val="7F914429"/>
    <w:rsid w:val="7FA97969"/>
    <w:rsid w:val="7FB55060"/>
    <w:rsid w:val="7FC63880"/>
    <w:rsid w:val="7FD1781E"/>
    <w:rsid w:val="7FD352B7"/>
    <w:rsid w:val="7FDD52F8"/>
    <w:rsid w:val="7FE35F3C"/>
    <w:rsid w:val="7FE65919"/>
    <w:rsid w:val="7FE767D0"/>
    <w:rsid w:val="7FEB56A7"/>
    <w:rsid w:val="7FF151BF"/>
    <w:rsid w:val="7FF21BEA"/>
    <w:rsid w:val="7FFF1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3"/>
    <w:autoRedefine/>
    <w:qFormat/>
    <w:uiPriority w:val="9"/>
    <w:pPr>
      <w:keepNext/>
      <w:jc w:val="center"/>
      <w:outlineLvl w:val="0"/>
    </w:pPr>
    <w:rPr>
      <w:b/>
      <w:sz w:val="18"/>
    </w:rPr>
  </w:style>
  <w:style w:type="paragraph" w:styleId="5">
    <w:name w:val="heading 2"/>
    <w:basedOn w:val="1"/>
    <w:next w:val="1"/>
    <w:link w:val="118"/>
    <w:autoRedefine/>
    <w:qFormat/>
    <w:uiPriority w:val="0"/>
    <w:pPr>
      <w:keepNext/>
      <w:outlineLvl w:val="1"/>
    </w:pPr>
    <w:rPr>
      <w:b/>
      <w:sz w:val="18"/>
    </w:rPr>
  </w:style>
  <w:style w:type="paragraph" w:styleId="6">
    <w:name w:val="heading 3"/>
    <w:basedOn w:val="1"/>
    <w:next w:val="1"/>
    <w:link w:val="40"/>
    <w:autoRedefine/>
    <w:qFormat/>
    <w:uiPriority w:val="0"/>
    <w:pPr>
      <w:keepNext/>
      <w:keepLines/>
      <w:widowControl/>
      <w:adjustRightInd w:val="0"/>
      <w:snapToGrid w:val="0"/>
      <w:spacing w:before="260" w:after="260" w:line="416" w:lineRule="auto"/>
      <w:jc w:val="left"/>
      <w:outlineLvl w:val="2"/>
    </w:pPr>
    <w:rPr>
      <w:rFonts w:ascii="Tahoma" w:hAnsi="Tahoma" w:eastAsia="微软雅黑"/>
      <w:b/>
      <w:bCs/>
      <w:kern w:val="0"/>
      <w:sz w:val="32"/>
      <w:szCs w:val="32"/>
    </w:rPr>
  </w:style>
  <w:style w:type="paragraph" w:styleId="7">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3"/>
    <w:autoRedefine/>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3">
    <w:name w:val="正文（绿盟科技）"/>
    <w:autoRedefine/>
    <w:qFormat/>
    <w:uiPriority w:val="0"/>
    <w:pPr>
      <w:spacing w:line="300" w:lineRule="auto"/>
    </w:pPr>
    <w:rPr>
      <w:rFonts w:ascii="Arial" w:hAnsi="Arial" w:eastAsia="宋体" w:cs="Times New Roman"/>
      <w:sz w:val="21"/>
      <w:szCs w:val="21"/>
      <w:lang w:val="en-US" w:eastAsia="zh-CN" w:bidi="ar-SA"/>
    </w:rPr>
  </w:style>
  <w:style w:type="paragraph" w:styleId="8">
    <w:name w:val="Normal Indent"/>
    <w:basedOn w:val="1"/>
    <w:link w:val="67"/>
    <w:autoRedefine/>
    <w:qFormat/>
    <w:uiPriority w:val="0"/>
    <w:pPr>
      <w:ind w:firstLine="420" w:firstLineChars="200"/>
    </w:pPr>
  </w:style>
  <w:style w:type="paragraph" w:styleId="9">
    <w:name w:val="index 5"/>
    <w:basedOn w:val="1"/>
    <w:next w:val="1"/>
    <w:autoRedefine/>
    <w:qFormat/>
    <w:uiPriority w:val="0"/>
    <w:pPr>
      <w:jc w:val="center"/>
    </w:pPr>
    <w:rPr>
      <w:color w:val="FF0000"/>
    </w:rPr>
  </w:style>
  <w:style w:type="paragraph" w:styleId="10">
    <w:name w:val="Document Map"/>
    <w:basedOn w:val="1"/>
    <w:autoRedefine/>
    <w:qFormat/>
    <w:uiPriority w:val="0"/>
    <w:pPr>
      <w:shd w:val="clear" w:color="auto" w:fill="000080"/>
    </w:pPr>
  </w:style>
  <w:style w:type="paragraph" w:styleId="11">
    <w:name w:val="annotation text"/>
    <w:basedOn w:val="1"/>
    <w:autoRedefine/>
    <w:qFormat/>
    <w:uiPriority w:val="0"/>
    <w:pPr>
      <w:jc w:val="left"/>
    </w:pPr>
  </w:style>
  <w:style w:type="paragraph" w:styleId="12">
    <w:name w:val="Body Text"/>
    <w:basedOn w:val="1"/>
    <w:next w:val="1"/>
    <w:link w:val="45"/>
    <w:autoRedefine/>
    <w:qFormat/>
    <w:uiPriority w:val="0"/>
    <w:pPr>
      <w:jc w:val="left"/>
    </w:pPr>
    <w:rPr>
      <w:bCs/>
      <w:sz w:val="18"/>
    </w:rPr>
  </w:style>
  <w:style w:type="paragraph" w:styleId="13">
    <w:name w:val="Body Text Indent"/>
    <w:basedOn w:val="1"/>
    <w:link w:val="56"/>
    <w:autoRedefine/>
    <w:qFormat/>
    <w:uiPriority w:val="0"/>
    <w:pPr>
      <w:spacing w:line="360" w:lineRule="exact"/>
      <w:ind w:left="280" w:firstLine="560" w:firstLineChars="200"/>
    </w:pPr>
    <w:rPr>
      <w:rFonts w:ascii="仿宋_GB2312" w:eastAsia="仿宋_GB2312"/>
      <w:sz w:val="28"/>
      <w:szCs w:val="32"/>
    </w:rPr>
  </w:style>
  <w:style w:type="paragraph" w:styleId="14">
    <w:name w:val="List 2"/>
    <w:basedOn w:val="1"/>
    <w:autoRedefine/>
    <w:qFormat/>
    <w:uiPriority w:val="99"/>
    <w:pPr>
      <w:ind w:left="100" w:leftChars="200" w:hanging="200" w:hangingChars="200"/>
    </w:pPr>
  </w:style>
  <w:style w:type="paragraph" w:styleId="15">
    <w:name w:val="Plain Text"/>
    <w:basedOn w:val="1"/>
    <w:link w:val="60"/>
    <w:autoRedefine/>
    <w:qFormat/>
    <w:uiPriority w:val="0"/>
    <w:pPr>
      <w:widowControl/>
      <w:jc w:val="left"/>
    </w:pPr>
    <w:rPr>
      <w:rFonts w:ascii="宋体" w:hAnsi="Courier New"/>
      <w:kern w:val="0"/>
      <w:sz w:val="20"/>
      <w:szCs w:val="20"/>
    </w:rPr>
  </w:style>
  <w:style w:type="paragraph" w:styleId="16">
    <w:name w:val="Date"/>
    <w:basedOn w:val="1"/>
    <w:next w:val="1"/>
    <w:autoRedefine/>
    <w:qFormat/>
    <w:uiPriority w:val="0"/>
    <w:pPr>
      <w:ind w:left="100" w:leftChars="2500"/>
    </w:pPr>
  </w:style>
  <w:style w:type="paragraph" w:styleId="17">
    <w:name w:val="Body Text Indent 2"/>
    <w:basedOn w:val="1"/>
    <w:link w:val="80"/>
    <w:autoRedefine/>
    <w:qFormat/>
    <w:uiPriority w:val="0"/>
    <w:pPr>
      <w:spacing w:after="120" w:line="480" w:lineRule="auto"/>
      <w:ind w:left="420" w:leftChars="200"/>
    </w:pPr>
  </w:style>
  <w:style w:type="paragraph" w:styleId="18">
    <w:name w:val="Balloon Text"/>
    <w:basedOn w:val="1"/>
    <w:link w:val="59"/>
    <w:autoRedefine/>
    <w:qFormat/>
    <w:uiPriority w:val="0"/>
    <w:rPr>
      <w:sz w:val="18"/>
      <w:szCs w:val="18"/>
    </w:rPr>
  </w:style>
  <w:style w:type="paragraph" w:styleId="19">
    <w:name w:val="footer"/>
    <w:basedOn w:val="1"/>
    <w:link w:val="57"/>
    <w:autoRedefine/>
    <w:qFormat/>
    <w:uiPriority w:val="0"/>
    <w:pPr>
      <w:tabs>
        <w:tab w:val="center" w:pos="4153"/>
        <w:tab w:val="right" w:pos="8306"/>
      </w:tabs>
      <w:snapToGrid w:val="0"/>
      <w:jc w:val="left"/>
    </w:pPr>
    <w:rPr>
      <w:sz w:val="18"/>
      <w:szCs w:val="18"/>
    </w:rPr>
  </w:style>
  <w:style w:type="paragraph" w:styleId="20">
    <w:name w:val="header"/>
    <w:basedOn w:val="1"/>
    <w:link w:val="74"/>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style>
  <w:style w:type="paragraph" w:styleId="22">
    <w:name w:val="Subtitle"/>
    <w:basedOn w:val="1"/>
    <w:next w:val="1"/>
    <w:autoRedefine/>
    <w:qFormat/>
    <w:uiPriority w:val="99"/>
    <w:pPr>
      <w:spacing w:before="240" w:after="60" w:line="312" w:lineRule="auto"/>
      <w:jc w:val="center"/>
      <w:outlineLvl w:val="1"/>
    </w:pPr>
    <w:rPr>
      <w:rFonts w:ascii="Cambria" w:hAnsi="Cambria" w:cs="Cambria"/>
      <w:b/>
      <w:bCs/>
      <w:kern w:val="28"/>
      <w:sz w:val="32"/>
      <w:szCs w:val="32"/>
    </w:rPr>
  </w:style>
  <w:style w:type="paragraph" w:styleId="23">
    <w:name w:val="Normal (Web)"/>
    <w:basedOn w:val="1"/>
    <w:autoRedefine/>
    <w:qFormat/>
    <w:uiPriority w:val="0"/>
    <w:pPr>
      <w:widowControl/>
      <w:spacing w:before="150" w:after="150"/>
      <w:jc w:val="left"/>
    </w:pPr>
    <w:rPr>
      <w:rFonts w:ascii="宋体" w:hAnsi="宋体" w:cs="宋体"/>
      <w:kern w:val="0"/>
      <w:sz w:val="24"/>
    </w:rPr>
  </w:style>
  <w:style w:type="paragraph" w:styleId="24">
    <w:name w:val="Body Text First Indent"/>
    <w:basedOn w:val="12"/>
    <w:autoRedefine/>
    <w:unhideWhenUsed/>
    <w:qFormat/>
    <w:uiPriority w:val="99"/>
    <w:pPr>
      <w:ind w:firstLine="420" w:firstLineChars="100"/>
    </w:pPr>
  </w:style>
  <w:style w:type="paragraph" w:styleId="25">
    <w:name w:val="Body Text First Indent 2"/>
    <w:basedOn w:val="13"/>
    <w:autoRedefine/>
    <w:semiHidden/>
    <w:unhideWhenUsed/>
    <w:qFormat/>
    <w:uiPriority w:val="99"/>
    <w:pPr>
      <w:spacing w:before="100" w:beforeAutospacing="1" w:line="480" w:lineRule="exact"/>
      <w:ind w:left="0" w:leftChars="0" w:firstLine="420"/>
    </w:pPr>
    <w:rPr>
      <w:sz w:val="28"/>
      <w:szCs w:val="28"/>
    </w:rPr>
  </w:style>
  <w:style w:type="table" w:styleId="27">
    <w:name w:val="Table Grid"/>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autoRedefine/>
    <w:qFormat/>
    <w:uiPriority w:val="0"/>
    <w:rPr>
      <w:b/>
      <w:bCs/>
    </w:rPr>
  </w:style>
  <w:style w:type="character" w:styleId="30">
    <w:name w:val="page number"/>
    <w:basedOn w:val="28"/>
    <w:autoRedefine/>
    <w:qFormat/>
    <w:uiPriority w:val="0"/>
  </w:style>
  <w:style w:type="character" w:styleId="31">
    <w:name w:val="Emphasis"/>
    <w:autoRedefine/>
    <w:qFormat/>
    <w:uiPriority w:val="0"/>
  </w:style>
  <w:style w:type="character" w:styleId="32">
    <w:name w:val="HTML Definition"/>
    <w:autoRedefine/>
    <w:qFormat/>
    <w:uiPriority w:val="0"/>
  </w:style>
  <w:style w:type="character" w:styleId="33">
    <w:name w:val="HTML Variable"/>
    <w:autoRedefine/>
    <w:qFormat/>
    <w:uiPriority w:val="0"/>
  </w:style>
  <w:style w:type="character" w:styleId="34">
    <w:name w:val="Hyperlink"/>
    <w:autoRedefine/>
    <w:qFormat/>
    <w:uiPriority w:val="99"/>
    <w:rPr>
      <w:rFonts w:hint="default" w:ascii="ˎ̥" w:hAnsi="ˎ̥"/>
      <w:color w:val="000000"/>
      <w:sz w:val="18"/>
      <w:szCs w:val="18"/>
      <w:u w:val="none"/>
    </w:rPr>
  </w:style>
  <w:style w:type="character" w:styleId="35">
    <w:name w:val="HTML Code"/>
    <w:autoRedefine/>
    <w:qFormat/>
    <w:uiPriority w:val="0"/>
    <w:rPr>
      <w:rFonts w:ascii="Courier New" w:hAnsi="Courier New"/>
      <w:sz w:val="20"/>
    </w:rPr>
  </w:style>
  <w:style w:type="character" w:styleId="36">
    <w:name w:val="HTML Cite"/>
    <w:autoRedefine/>
    <w:qFormat/>
    <w:uiPriority w:val="0"/>
  </w:style>
  <w:style w:type="character" w:customStyle="1" w:styleId="37">
    <w:name w:val="一级标题 Char"/>
    <w:link w:val="38"/>
    <w:autoRedefine/>
    <w:qFormat/>
    <w:uiPriority w:val="0"/>
    <w:rPr>
      <w:rFonts w:ascii="楷体_GB2312" w:hAnsi="宋体" w:eastAsia="楷体_GB2312"/>
      <w:b/>
      <w:sz w:val="28"/>
      <w:szCs w:val="24"/>
    </w:rPr>
  </w:style>
  <w:style w:type="paragraph" w:customStyle="1" w:styleId="38">
    <w:name w:val="一级标题"/>
    <w:basedOn w:val="1"/>
    <w:link w:val="37"/>
    <w:autoRedefine/>
    <w:qFormat/>
    <w:uiPriority w:val="0"/>
    <w:pPr>
      <w:widowControl/>
      <w:spacing w:line="560" w:lineRule="exact"/>
      <w:jc w:val="left"/>
      <w:outlineLvl w:val="0"/>
    </w:pPr>
    <w:rPr>
      <w:rFonts w:ascii="楷体_GB2312" w:hAnsi="宋体" w:eastAsia="楷体_GB2312"/>
      <w:b/>
      <w:kern w:val="0"/>
      <w:sz w:val="28"/>
    </w:rPr>
  </w:style>
  <w:style w:type="character" w:customStyle="1" w:styleId="39">
    <w:name w:val="modifier"/>
    <w:autoRedefine/>
    <w:qFormat/>
    <w:uiPriority w:val="0"/>
    <w:rPr>
      <w:color w:val="FF0000"/>
    </w:rPr>
  </w:style>
  <w:style w:type="character" w:customStyle="1" w:styleId="40">
    <w:name w:val="标题 3 字符"/>
    <w:link w:val="6"/>
    <w:autoRedefine/>
    <w:qFormat/>
    <w:uiPriority w:val="0"/>
    <w:rPr>
      <w:rFonts w:ascii="Tahoma" w:hAnsi="Tahoma" w:eastAsia="微软雅黑"/>
      <w:b/>
      <w:bCs/>
      <w:sz w:val="32"/>
      <w:szCs w:val="32"/>
    </w:rPr>
  </w:style>
  <w:style w:type="character" w:customStyle="1" w:styleId="41">
    <w:name w:val="font01"/>
    <w:autoRedefine/>
    <w:qFormat/>
    <w:uiPriority w:val="0"/>
    <w:rPr>
      <w:rFonts w:hint="eastAsia" w:ascii="宋体" w:hAnsi="宋体" w:eastAsia="宋体" w:cs="宋体"/>
      <w:color w:val="FF0000"/>
      <w:sz w:val="20"/>
      <w:szCs w:val="20"/>
      <w:u w:val="none"/>
    </w:rPr>
  </w:style>
  <w:style w:type="character" w:customStyle="1" w:styleId="42">
    <w:name w:val="无间隔 字符"/>
    <w:link w:val="43"/>
    <w:autoRedefine/>
    <w:qFormat/>
    <w:uiPriority w:val="1"/>
    <w:rPr>
      <w:sz w:val="22"/>
      <w:szCs w:val="22"/>
      <w:lang w:val="en-US" w:eastAsia="zh-CN" w:bidi="ar-SA"/>
    </w:rPr>
  </w:style>
  <w:style w:type="paragraph" w:styleId="43">
    <w:name w:val="No Spacing"/>
    <w:link w:val="42"/>
    <w:autoRedefine/>
    <w:qFormat/>
    <w:uiPriority w:val="1"/>
    <w:rPr>
      <w:rFonts w:ascii="Times New Roman" w:hAnsi="Times New Roman" w:eastAsia="宋体" w:cs="Times New Roman"/>
      <w:sz w:val="22"/>
      <w:szCs w:val="22"/>
      <w:lang w:val="en-US" w:eastAsia="zh-CN" w:bidi="ar-SA"/>
    </w:rPr>
  </w:style>
  <w:style w:type="character" w:customStyle="1" w:styleId="44">
    <w:name w:val="纯文本 Char1"/>
    <w:autoRedefine/>
    <w:qFormat/>
    <w:uiPriority w:val="99"/>
    <w:rPr>
      <w:rFonts w:ascii="宋体" w:hAnsi="Courier New" w:cs="Courier New"/>
      <w:kern w:val="2"/>
      <w:sz w:val="21"/>
      <w:szCs w:val="21"/>
    </w:rPr>
  </w:style>
  <w:style w:type="character" w:customStyle="1" w:styleId="45">
    <w:name w:val="正文文本 字符"/>
    <w:link w:val="12"/>
    <w:autoRedefine/>
    <w:qFormat/>
    <w:uiPriority w:val="0"/>
    <w:rPr>
      <w:bCs/>
      <w:kern w:val="2"/>
      <w:sz w:val="18"/>
      <w:szCs w:val="24"/>
    </w:rPr>
  </w:style>
  <w:style w:type="character" w:customStyle="1" w:styleId="46">
    <w:name w:val="访问过的超链接1"/>
    <w:autoRedefine/>
    <w:qFormat/>
    <w:uiPriority w:val="0"/>
    <w:rPr>
      <w:color w:val="333333"/>
      <w:u w:val="none"/>
    </w:rPr>
  </w:style>
  <w:style w:type="character" w:customStyle="1" w:styleId="47">
    <w:name w:val="UP正文 Char Char"/>
    <w:link w:val="48"/>
    <w:autoRedefine/>
    <w:qFormat/>
    <w:uiPriority w:val="0"/>
    <w:rPr>
      <w:rFonts w:ascii="Tahoma" w:eastAsia="宋体"/>
      <w:kern w:val="2"/>
      <w:sz w:val="21"/>
      <w:lang w:bidi="ar-SA"/>
    </w:rPr>
  </w:style>
  <w:style w:type="paragraph" w:customStyle="1" w:styleId="48">
    <w:name w:val="UP正文"/>
    <w:basedOn w:val="1"/>
    <w:link w:val="47"/>
    <w:autoRedefine/>
    <w:qFormat/>
    <w:uiPriority w:val="0"/>
    <w:pPr>
      <w:spacing w:line="360" w:lineRule="auto"/>
      <w:ind w:left="420" w:leftChars="200" w:firstLine="420" w:firstLineChars="200"/>
    </w:pPr>
    <w:rPr>
      <w:rFonts w:ascii="Tahoma"/>
      <w:szCs w:val="20"/>
    </w:rPr>
  </w:style>
  <w:style w:type="character" w:customStyle="1" w:styleId="49">
    <w:name w:val="正文文本首行缩进 字符"/>
    <w:basedOn w:val="45"/>
    <w:link w:val="50"/>
    <w:autoRedefine/>
    <w:qFormat/>
    <w:uiPriority w:val="0"/>
    <w:rPr>
      <w:kern w:val="2"/>
      <w:sz w:val="18"/>
      <w:szCs w:val="24"/>
    </w:rPr>
  </w:style>
  <w:style w:type="paragraph" w:customStyle="1" w:styleId="50">
    <w:name w:val="正文文本首行缩进"/>
    <w:basedOn w:val="12"/>
    <w:link w:val="49"/>
    <w:autoRedefine/>
    <w:qFormat/>
    <w:uiPriority w:val="0"/>
    <w:pPr>
      <w:spacing w:after="120"/>
      <w:ind w:firstLine="420" w:firstLineChars="100"/>
      <w:jc w:val="both"/>
    </w:pPr>
  </w:style>
  <w:style w:type="character" w:customStyle="1" w:styleId="51">
    <w:name w:val="style111"/>
    <w:autoRedefine/>
    <w:qFormat/>
    <w:uiPriority w:val="0"/>
    <w:rPr>
      <w:sz w:val="24"/>
      <w:szCs w:val="24"/>
    </w:rPr>
  </w:style>
  <w:style w:type="character" w:customStyle="1" w:styleId="52">
    <w:name w:val="font31"/>
    <w:basedOn w:val="28"/>
    <w:autoRedefine/>
    <w:qFormat/>
    <w:uiPriority w:val="0"/>
    <w:rPr>
      <w:rFonts w:hint="eastAsia" w:ascii="宋体" w:hAnsi="宋体" w:eastAsia="宋体" w:cs="宋体"/>
      <w:color w:val="000000"/>
      <w:sz w:val="22"/>
      <w:szCs w:val="22"/>
      <w:u w:val="none"/>
    </w:rPr>
  </w:style>
  <w:style w:type="character" w:customStyle="1" w:styleId="53">
    <w:name w:val="ca-3"/>
    <w:basedOn w:val="28"/>
    <w:autoRedefine/>
    <w:qFormat/>
    <w:uiPriority w:val="0"/>
  </w:style>
  <w:style w:type="character" w:customStyle="1" w:styleId="54">
    <w:name w:val="列出段落 Char"/>
    <w:link w:val="55"/>
    <w:autoRedefine/>
    <w:qFormat/>
    <w:uiPriority w:val="0"/>
    <w:rPr>
      <w:kern w:val="2"/>
      <w:sz w:val="21"/>
      <w:szCs w:val="22"/>
    </w:rPr>
  </w:style>
  <w:style w:type="paragraph" w:customStyle="1" w:styleId="55">
    <w:name w:val="列出段落2"/>
    <w:basedOn w:val="1"/>
    <w:link w:val="54"/>
    <w:autoRedefine/>
    <w:qFormat/>
    <w:uiPriority w:val="0"/>
    <w:pPr>
      <w:ind w:firstLine="420" w:firstLineChars="200"/>
    </w:pPr>
    <w:rPr>
      <w:szCs w:val="22"/>
    </w:rPr>
  </w:style>
  <w:style w:type="character" w:customStyle="1" w:styleId="56">
    <w:name w:val="正文文本缩进 字符"/>
    <w:link w:val="13"/>
    <w:autoRedefine/>
    <w:qFormat/>
    <w:uiPriority w:val="0"/>
    <w:rPr>
      <w:rFonts w:ascii="仿宋_GB2312" w:eastAsia="仿宋_GB2312"/>
      <w:kern w:val="2"/>
      <w:sz w:val="28"/>
      <w:szCs w:val="32"/>
    </w:rPr>
  </w:style>
  <w:style w:type="character" w:customStyle="1" w:styleId="57">
    <w:name w:val="页脚 字符"/>
    <w:link w:val="19"/>
    <w:autoRedefine/>
    <w:qFormat/>
    <w:uiPriority w:val="99"/>
    <w:rPr>
      <w:kern w:val="2"/>
      <w:sz w:val="18"/>
      <w:szCs w:val="18"/>
    </w:rPr>
  </w:style>
  <w:style w:type="character" w:customStyle="1" w:styleId="58">
    <w:name w:val="正文文本缩进 字符1"/>
    <w:autoRedefine/>
    <w:semiHidden/>
    <w:qFormat/>
    <w:uiPriority w:val="99"/>
  </w:style>
  <w:style w:type="character" w:customStyle="1" w:styleId="59">
    <w:name w:val="批注框文本 字符"/>
    <w:link w:val="18"/>
    <w:autoRedefine/>
    <w:qFormat/>
    <w:uiPriority w:val="0"/>
    <w:rPr>
      <w:kern w:val="2"/>
      <w:sz w:val="18"/>
      <w:szCs w:val="18"/>
    </w:rPr>
  </w:style>
  <w:style w:type="character" w:customStyle="1" w:styleId="60">
    <w:name w:val="纯文本 字符"/>
    <w:link w:val="15"/>
    <w:autoRedefine/>
    <w:qFormat/>
    <w:uiPriority w:val="0"/>
    <w:rPr>
      <w:rFonts w:ascii="宋体" w:hAnsi="Courier New"/>
    </w:rPr>
  </w:style>
  <w:style w:type="character" w:customStyle="1" w:styleId="61">
    <w:name w:val="hei13b1"/>
    <w:autoRedefine/>
    <w:qFormat/>
    <w:uiPriority w:val="0"/>
    <w:rPr>
      <w:rFonts w:hint="default" w:ascii="Arial" w:hAnsi="Arial" w:cs="Arial"/>
      <w:b/>
      <w:bCs/>
      <w:color w:val="000000"/>
      <w:sz w:val="20"/>
      <w:szCs w:val="20"/>
    </w:rPr>
  </w:style>
  <w:style w:type="character" w:customStyle="1" w:styleId="62">
    <w:name w:val="表格文字 Char"/>
    <w:link w:val="63"/>
    <w:autoRedefine/>
    <w:qFormat/>
    <w:uiPriority w:val="0"/>
    <w:rPr>
      <w:bCs/>
      <w:spacing w:val="10"/>
      <w:kern w:val="0"/>
      <w:sz w:val="24"/>
      <w:szCs w:val="20"/>
    </w:rPr>
  </w:style>
  <w:style w:type="paragraph" w:customStyle="1" w:styleId="63">
    <w:name w:val="表格文字"/>
    <w:basedOn w:val="1"/>
    <w:link w:val="62"/>
    <w:autoRedefine/>
    <w:qFormat/>
    <w:uiPriority w:val="0"/>
    <w:pPr>
      <w:spacing w:before="25" w:after="25"/>
      <w:jc w:val="left"/>
    </w:pPr>
    <w:rPr>
      <w:bCs/>
      <w:spacing w:val="10"/>
      <w:kern w:val="0"/>
      <w:sz w:val="24"/>
      <w:szCs w:val="20"/>
    </w:rPr>
  </w:style>
  <w:style w:type="character" w:customStyle="1" w:styleId="64">
    <w:name w:val="label"/>
    <w:autoRedefine/>
    <w:qFormat/>
    <w:uiPriority w:val="0"/>
    <w:rPr>
      <w:color w:val="555555"/>
    </w:rPr>
  </w:style>
  <w:style w:type="character" w:customStyle="1" w:styleId="65">
    <w:name w:val="font11"/>
    <w:basedOn w:val="28"/>
    <w:autoRedefine/>
    <w:qFormat/>
    <w:uiPriority w:val="0"/>
    <w:rPr>
      <w:rFonts w:hint="default" w:ascii="Times New Roman" w:hAnsi="Times New Roman" w:cs="Times New Roman"/>
      <w:color w:val="000000"/>
      <w:sz w:val="20"/>
      <w:szCs w:val="20"/>
      <w:u w:val="none"/>
    </w:rPr>
  </w:style>
  <w:style w:type="character" w:customStyle="1" w:styleId="66">
    <w:name w:val="font21"/>
    <w:autoRedefine/>
    <w:qFormat/>
    <w:uiPriority w:val="0"/>
    <w:rPr>
      <w:rFonts w:hint="eastAsia" w:ascii="宋体" w:hAnsi="宋体" w:eastAsia="宋体" w:cs="宋体"/>
      <w:color w:val="000000"/>
      <w:sz w:val="20"/>
      <w:szCs w:val="20"/>
      <w:u w:val="none"/>
    </w:rPr>
  </w:style>
  <w:style w:type="character" w:customStyle="1" w:styleId="67">
    <w:name w:val="正文缩进 字符"/>
    <w:link w:val="8"/>
    <w:autoRedefine/>
    <w:qFormat/>
    <w:uiPriority w:val="0"/>
    <w:rPr>
      <w:rFonts w:eastAsia="宋体"/>
      <w:kern w:val="2"/>
      <w:sz w:val="21"/>
      <w:szCs w:val="24"/>
      <w:lang w:val="en-US" w:eastAsia="zh-CN" w:bidi="ar-SA"/>
    </w:rPr>
  </w:style>
  <w:style w:type="character" w:customStyle="1" w:styleId="68">
    <w:name w:val="ca-1"/>
    <w:basedOn w:val="28"/>
    <w:autoRedefine/>
    <w:qFormat/>
    <w:uiPriority w:val="0"/>
  </w:style>
  <w:style w:type="character" w:customStyle="1" w:styleId="69">
    <w:name w:val="apple-converted-space"/>
    <w:basedOn w:val="28"/>
    <w:autoRedefine/>
    <w:qFormat/>
    <w:uiPriority w:val="0"/>
  </w:style>
  <w:style w:type="character" w:customStyle="1" w:styleId="70">
    <w:name w:val="UP标题3 Char Char"/>
    <w:link w:val="71"/>
    <w:autoRedefine/>
    <w:qFormat/>
    <w:uiPriority w:val="0"/>
    <w:rPr>
      <w:rFonts w:ascii="黑体" w:eastAsia="黑体"/>
      <w:kern w:val="2"/>
      <w:sz w:val="28"/>
      <w:szCs w:val="28"/>
      <w:lang w:bidi="ar-SA"/>
    </w:rPr>
  </w:style>
  <w:style w:type="paragraph" w:customStyle="1" w:styleId="71">
    <w:name w:val="UP标题3"/>
    <w:basedOn w:val="1"/>
    <w:link w:val="70"/>
    <w:autoRedefine/>
    <w:qFormat/>
    <w:uiPriority w:val="0"/>
    <w:pPr>
      <w:spacing w:line="360" w:lineRule="auto"/>
      <w:ind w:firstLine="149" w:firstLineChars="149"/>
    </w:pPr>
    <w:rPr>
      <w:rFonts w:ascii="黑体" w:eastAsia="黑体"/>
      <w:sz w:val="28"/>
      <w:szCs w:val="28"/>
    </w:rPr>
  </w:style>
  <w:style w:type="character" w:customStyle="1" w:styleId="72">
    <w:name w:val="article1"/>
    <w:autoRedefine/>
    <w:qFormat/>
    <w:uiPriority w:val="0"/>
    <w:rPr>
      <w:sz w:val="21"/>
      <w:szCs w:val="21"/>
    </w:rPr>
  </w:style>
  <w:style w:type="character" w:customStyle="1" w:styleId="73">
    <w:name w:val="标题 1 字符"/>
    <w:link w:val="4"/>
    <w:autoRedefine/>
    <w:qFormat/>
    <w:uiPriority w:val="9"/>
    <w:rPr>
      <w:rFonts w:eastAsia="宋体"/>
      <w:b/>
      <w:kern w:val="2"/>
      <w:sz w:val="18"/>
      <w:szCs w:val="24"/>
      <w:lang w:val="en-US" w:eastAsia="zh-CN" w:bidi="ar-SA"/>
    </w:rPr>
  </w:style>
  <w:style w:type="character" w:customStyle="1" w:styleId="74">
    <w:name w:val="页眉 字符"/>
    <w:link w:val="20"/>
    <w:autoRedefine/>
    <w:qFormat/>
    <w:uiPriority w:val="99"/>
    <w:rPr>
      <w:kern w:val="2"/>
      <w:sz w:val="18"/>
      <w:szCs w:val="18"/>
    </w:rPr>
  </w:style>
  <w:style w:type="character" w:customStyle="1" w:styleId="75">
    <w:name w:val="ca-4"/>
    <w:basedOn w:val="28"/>
    <w:autoRedefine/>
    <w:qFormat/>
    <w:uiPriority w:val="0"/>
  </w:style>
  <w:style w:type="character" w:customStyle="1" w:styleId="76">
    <w:name w:val="apple-style-span"/>
    <w:basedOn w:val="28"/>
    <w:autoRedefine/>
    <w:qFormat/>
    <w:uiPriority w:val="0"/>
  </w:style>
  <w:style w:type="character" w:customStyle="1" w:styleId="77">
    <w:name w:val="mark12"/>
    <w:basedOn w:val="28"/>
    <w:autoRedefine/>
    <w:qFormat/>
    <w:uiPriority w:val="0"/>
  </w:style>
  <w:style w:type="character" w:customStyle="1" w:styleId="78">
    <w:name w:val="标题 2 字符"/>
    <w:link w:val="5"/>
    <w:autoRedefine/>
    <w:qFormat/>
    <w:uiPriority w:val="0"/>
    <w:rPr>
      <w:b/>
      <w:kern w:val="2"/>
      <w:sz w:val="18"/>
      <w:szCs w:val="24"/>
    </w:rPr>
  </w:style>
  <w:style w:type="character" w:customStyle="1" w:styleId="79">
    <w:name w:val="ca-2"/>
    <w:basedOn w:val="28"/>
    <w:autoRedefine/>
    <w:qFormat/>
    <w:uiPriority w:val="0"/>
  </w:style>
  <w:style w:type="character" w:customStyle="1" w:styleId="80">
    <w:name w:val="正文文本缩进 2 字符"/>
    <w:link w:val="17"/>
    <w:autoRedefine/>
    <w:qFormat/>
    <w:uiPriority w:val="0"/>
    <w:rPr>
      <w:kern w:val="2"/>
      <w:sz w:val="21"/>
      <w:szCs w:val="24"/>
    </w:rPr>
  </w:style>
  <w:style w:type="paragraph" w:customStyle="1" w:styleId="81">
    <w:name w:val="纯文本1"/>
    <w:basedOn w:val="1"/>
    <w:autoRedefine/>
    <w:qFormat/>
    <w:uiPriority w:val="0"/>
    <w:rPr>
      <w:rFonts w:ascii="宋体" w:hAnsi="Courier New"/>
      <w:szCs w:val="21"/>
    </w:rPr>
  </w:style>
  <w:style w:type="paragraph" w:customStyle="1" w:styleId="8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3">
    <w:name w:val="正文2"/>
    <w:autoRedefine/>
    <w:qFormat/>
    <w:uiPriority w:val="99"/>
    <w:pPr>
      <w:widowControl w:val="0"/>
      <w:adjustRightInd w:val="0"/>
      <w:spacing w:line="312" w:lineRule="atLeast"/>
      <w:jc w:val="both"/>
    </w:pPr>
    <w:rPr>
      <w:rFonts w:ascii="宋体" w:hAnsi="Times New Roman" w:eastAsia="宋体" w:cs="Times New Roman"/>
      <w:sz w:val="34"/>
      <w:szCs w:val="22"/>
      <w:lang w:val="en-US" w:eastAsia="zh-CN" w:bidi="ar-SA"/>
    </w:rPr>
  </w:style>
  <w:style w:type="paragraph" w:customStyle="1" w:styleId="84">
    <w:name w:val="列出段落1"/>
    <w:basedOn w:val="1"/>
    <w:autoRedefine/>
    <w:unhideWhenUsed/>
    <w:qFormat/>
    <w:uiPriority w:val="99"/>
    <w:pPr>
      <w:ind w:firstLine="420" w:firstLineChars="200"/>
    </w:pPr>
    <w:rPr>
      <w:rFonts w:ascii="宋体" w:hAnsi="Calibri"/>
      <w:kern w:val="0"/>
      <w:sz w:val="34"/>
      <w:szCs w:val="22"/>
    </w:rPr>
  </w:style>
  <w:style w:type="paragraph" w:customStyle="1" w:styleId="85">
    <w:name w:val="附件正文"/>
    <w:basedOn w:val="1"/>
    <w:autoRedefine/>
    <w:qFormat/>
    <w:uiPriority w:val="0"/>
    <w:pPr>
      <w:snapToGrid w:val="0"/>
      <w:spacing w:line="260" w:lineRule="exact"/>
      <w:jc w:val="center"/>
    </w:pPr>
    <w:rPr>
      <w:rFonts w:ascii="华文仿宋" w:hAnsi="华文仿宋" w:eastAsia="华文仿宋"/>
      <w:b/>
      <w:kern w:val="0"/>
      <w:szCs w:val="21"/>
    </w:rPr>
  </w:style>
  <w:style w:type="paragraph" w:customStyle="1" w:styleId="86">
    <w:name w:val="Char1"/>
    <w:basedOn w:val="1"/>
    <w:autoRedefine/>
    <w:qFormat/>
    <w:uiPriority w:val="0"/>
    <w:pPr>
      <w:ind w:left="359" w:leftChars="171" w:firstLine="560" w:firstLineChars="200"/>
    </w:pPr>
  </w:style>
  <w:style w:type="paragraph" w:customStyle="1" w:styleId="87">
    <w:name w:val="正文首行缩进两字符"/>
    <w:basedOn w:val="1"/>
    <w:autoRedefine/>
    <w:qFormat/>
    <w:uiPriority w:val="0"/>
    <w:pPr>
      <w:spacing w:line="360" w:lineRule="auto"/>
      <w:ind w:firstLine="200" w:firstLineChars="200"/>
    </w:pPr>
    <w:rPr>
      <w:rFonts w:ascii="宋体" w:hAnsi="Calibri"/>
      <w:kern w:val="0"/>
      <w:sz w:val="34"/>
      <w:szCs w:val="22"/>
    </w:rPr>
  </w:style>
  <w:style w:type="paragraph" w:customStyle="1" w:styleId="88">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89">
    <w:name w:val="正文3"/>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0">
    <w:name w:val="_Style 3"/>
    <w:basedOn w:val="1"/>
    <w:autoRedefine/>
    <w:qFormat/>
    <w:uiPriority w:val="34"/>
    <w:pPr>
      <w:ind w:firstLine="420" w:firstLineChars="200"/>
    </w:pPr>
    <w:rPr>
      <w:rFonts w:ascii="Calibri" w:hAnsi="Calibri"/>
      <w:kern w:val="0"/>
      <w:sz w:val="34"/>
    </w:rPr>
  </w:style>
  <w:style w:type="paragraph" w:customStyle="1" w:styleId="91">
    <w:name w:val="00C2FCAA2DF749E1AD1DF710F7BE298E"/>
    <w:autoRedefine/>
    <w:qFormat/>
    <w:uiPriority w:val="0"/>
    <w:pPr>
      <w:spacing w:after="200" w:line="276" w:lineRule="auto"/>
    </w:pPr>
    <w:rPr>
      <w:rFonts w:ascii="Times New Roman" w:hAnsi="Times New Roman" w:eastAsia="宋体" w:cs="Times New Roman"/>
      <w:sz w:val="22"/>
      <w:szCs w:val="22"/>
      <w:lang w:val="en-US" w:eastAsia="zh-CN" w:bidi="ar-SA"/>
    </w:rPr>
  </w:style>
  <w:style w:type="paragraph" w:customStyle="1" w:styleId="92">
    <w:name w:val="目录 11"/>
    <w:basedOn w:val="1"/>
    <w:next w:val="1"/>
    <w:autoRedefine/>
    <w:qFormat/>
    <w:uiPriority w:val="39"/>
    <w:rPr>
      <w:rFonts w:ascii="宋体" w:hAnsi="Calibri"/>
      <w:kern w:val="0"/>
      <w:sz w:val="34"/>
      <w:szCs w:val="22"/>
    </w:rPr>
  </w:style>
  <w:style w:type="paragraph" w:customStyle="1" w:styleId="93">
    <w:name w:val="pa-3"/>
    <w:basedOn w:val="1"/>
    <w:autoRedefine/>
    <w:qFormat/>
    <w:uiPriority w:val="0"/>
    <w:pPr>
      <w:widowControl/>
      <w:spacing w:before="150" w:after="150"/>
      <w:jc w:val="left"/>
    </w:pPr>
    <w:rPr>
      <w:rFonts w:ascii="宋体" w:hAnsi="宋体" w:cs="宋体"/>
      <w:kern w:val="0"/>
      <w:sz w:val="24"/>
    </w:rPr>
  </w:style>
  <w:style w:type="paragraph" w:customStyle="1" w:styleId="94">
    <w:name w:val="p17"/>
    <w:basedOn w:val="1"/>
    <w:autoRedefine/>
    <w:qFormat/>
    <w:uiPriority w:val="0"/>
    <w:pPr>
      <w:widowControl/>
    </w:pPr>
    <w:rPr>
      <w:rFonts w:ascii="宋体" w:hAnsi="宋体" w:cs="宋体"/>
      <w:kern w:val="0"/>
      <w:szCs w:val="21"/>
    </w:rPr>
  </w:style>
  <w:style w:type="paragraph" w:customStyle="1" w:styleId="95">
    <w:name w:val="pa-2"/>
    <w:basedOn w:val="1"/>
    <w:autoRedefine/>
    <w:qFormat/>
    <w:uiPriority w:val="0"/>
    <w:pPr>
      <w:widowControl/>
      <w:spacing w:before="150" w:after="150"/>
      <w:jc w:val="left"/>
    </w:pPr>
    <w:rPr>
      <w:rFonts w:ascii="宋体" w:hAnsi="宋体" w:cs="宋体"/>
      <w:kern w:val="0"/>
      <w:sz w:val="24"/>
    </w:rPr>
  </w:style>
  <w:style w:type="paragraph" w:customStyle="1" w:styleId="96">
    <w:name w:val="样式 首行缩进:  2 字符"/>
    <w:basedOn w:val="1"/>
    <w:autoRedefine/>
    <w:qFormat/>
    <w:uiPriority w:val="0"/>
    <w:pPr>
      <w:spacing w:line="400" w:lineRule="exact"/>
      <w:ind w:firstLine="200" w:firstLineChars="200"/>
    </w:pPr>
    <w:rPr>
      <w:rFonts w:cs="宋体"/>
      <w:sz w:val="24"/>
    </w:rPr>
  </w:style>
  <w:style w:type="paragraph" w:customStyle="1" w:styleId="97">
    <w:name w:val="表格"/>
    <w:basedOn w:val="1"/>
    <w:autoRedefine/>
    <w:qFormat/>
    <w:uiPriority w:val="0"/>
    <w:pPr>
      <w:spacing w:line="400" w:lineRule="exact"/>
    </w:pPr>
    <w:rPr>
      <w:rFonts w:ascii="宋体" w:hAnsi="Calibri"/>
      <w:kern w:val="0"/>
      <w:sz w:val="24"/>
      <w:szCs w:val="22"/>
    </w:rPr>
  </w:style>
  <w:style w:type="paragraph" w:customStyle="1" w:styleId="98">
    <w:name w:val="pa-4"/>
    <w:basedOn w:val="1"/>
    <w:autoRedefine/>
    <w:qFormat/>
    <w:uiPriority w:val="0"/>
    <w:pPr>
      <w:widowControl/>
      <w:spacing w:before="150" w:after="150"/>
      <w:jc w:val="left"/>
    </w:pPr>
    <w:rPr>
      <w:rFonts w:ascii="宋体" w:hAnsi="宋体" w:cs="宋体"/>
      <w:kern w:val="0"/>
      <w:sz w:val="24"/>
    </w:rPr>
  </w:style>
  <w:style w:type="paragraph" w:customStyle="1" w:styleId="99">
    <w:name w:val="列表段落"/>
    <w:basedOn w:val="1"/>
    <w:autoRedefine/>
    <w:qFormat/>
    <w:uiPriority w:val="0"/>
    <w:pPr>
      <w:ind w:firstLine="420" w:firstLineChars="200"/>
    </w:pPr>
  </w:style>
  <w:style w:type="paragraph" w:customStyle="1" w:styleId="100">
    <w:name w:val="p15"/>
    <w:basedOn w:val="1"/>
    <w:autoRedefine/>
    <w:qFormat/>
    <w:uiPriority w:val="0"/>
    <w:pPr>
      <w:widowControl/>
      <w:spacing w:before="100" w:after="100" w:line="360" w:lineRule="auto"/>
    </w:pPr>
    <w:rPr>
      <w:rFonts w:ascii="宋体" w:hAnsi="宋体" w:cs="宋体"/>
      <w:kern w:val="0"/>
      <w:sz w:val="24"/>
    </w:rPr>
  </w:style>
  <w:style w:type="paragraph" w:customStyle="1" w:styleId="101">
    <w:name w:val="Char"/>
    <w:basedOn w:val="1"/>
    <w:autoRedefine/>
    <w:qFormat/>
    <w:uiPriority w:val="0"/>
    <w:pPr>
      <w:spacing w:line="240" w:lineRule="atLeast"/>
      <w:ind w:left="420" w:firstLine="420"/>
    </w:pPr>
  </w:style>
  <w:style w:type="paragraph" w:customStyle="1" w:styleId="102">
    <w:name w:val="HTML 预设格式1"/>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rPr>
  </w:style>
  <w:style w:type="paragraph" w:customStyle="1" w:styleId="103">
    <w:name w:val="Table Paragraph"/>
    <w:basedOn w:val="1"/>
    <w:autoRedefine/>
    <w:qFormat/>
    <w:uiPriority w:val="1"/>
    <w:rPr>
      <w:rFonts w:ascii="Noto Sans CJK JP Regular" w:hAnsi="Noto Sans CJK JP Regular" w:eastAsia="Noto Sans CJK JP Regular" w:cs="Noto Sans CJK JP Regular"/>
    </w:rPr>
  </w:style>
  <w:style w:type="paragraph" w:customStyle="1" w:styleId="104">
    <w:name w:val="Char Char Char Char"/>
    <w:basedOn w:val="10"/>
    <w:autoRedefine/>
    <w:qFormat/>
    <w:uiPriority w:val="0"/>
    <w:pPr>
      <w:adjustRightInd w:val="0"/>
      <w:snapToGrid w:val="0"/>
      <w:spacing w:line="360" w:lineRule="auto"/>
    </w:pPr>
    <w:rPr>
      <w:rFonts w:ascii="仿宋_GB2312" w:eastAsia="仿宋_GB2312"/>
      <w:sz w:val="24"/>
    </w:rPr>
  </w:style>
  <w:style w:type="paragraph" w:customStyle="1" w:styleId="105">
    <w:name w:val="_Style 1"/>
    <w:basedOn w:val="1"/>
    <w:autoRedefine/>
    <w:qFormat/>
    <w:uiPriority w:val="0"/>
    <w:pPr>
      <w:ind w:firstLine="420" w:firstLineChars="200"/>
    </w:pPr>
    <w:rPr>
      <w:sz w:val="18"/>
      <w:szCs w:val="18"/>
    </w:rPr>
  </w:style>
  <w:style w:type="paragraph" w:customStyle="1" w:styleId="106">
    <w:name w:val="p0"/>
    <w:basedOn w:val="1"/>
    <w:autoRedefine/>
    <w:qFormat/>
    <w:uiPriority w:val="0"/>
    <w:pPr>
      <w:widowControl/>
    </w:pPr>
    <w:rPr>
      <w:rFonts w:ascii="Calibri" w:hAnsi="Calibri" w:cs="宋体"/>
      <w:kern w:val="0"/>
      <w:szCs w:val="21"/>
    </w:rPr>
  </w:style>
  <w:style w:type="paragraph" w:customStyle="1" w:styleId="107">
    <w:name w:val="pa-6"/>
    <w:basedOn w:val="1"/>
    <w:autoRedefine/>
    <w:qFormat/>
    <w:uiPriority w:val="0"/>
    <w:pPr>
      <w:widowControl/>
      <w:spacing w:before="150" w:after="150"/>
      <w:jc w:val="left"/>
    </w:pPr>
    <w:rPr>
      <w:rFonts w:ascii="宋体" w:hAnsi="宋体" w:cs="宋体"/>
      <w:kern w:val="0"/>
      <w:sz w:val="24"/>
    </w:rPr>
  </w:style>
  <w:style w:type="paragraph" w:customStyle="1" w:styleId="108">
    <w:name w:val="_正文段落"/>
    <w:basedOn w:val="1"/>
    <w:autoRedefine/>
    <w:qFormat/>
    <w:uiPriority w:val="0"/>
    <w:pPr>
      <w:spacing w:line="360" w:lineRule="auto"/>
    </w:pPr>
    <w:rPr>
      <w:rFonts w:ascii="宋体" w:eastAsia="仿宋_GB2312"/>
      <w:kern w:val="0"/>
      <w:sz w:val="28"/>
    </w:rPr>
  </w:style>
  <w:style w:type="paragraph" w:customStyle="1" w:styleId="109">
    <w:name w:val="pa-1"/>
    <w:basedOn w:val="1"/>
    <w:autoRedefine/>
    <w:qFormat/>
    <w:uiPriority w:val="0"/>
    <w:pPr>
      <w:widowControl/>
      <w:spacing w:before="150" w:after="150"/>
      <w:jc w:val="left"/>
    </w:pPr>
    <w:rPr>
      <w:rFonts w:ascii="宋体" w:hAnsi="宋体" w:cs="宋体"/>
      <w:kern w:val="0"/>
      <w:sz w:val="24"/>
    </w:rPr>
  </w:style>
  <w:style w:type="paragraph" w:customStyle="1" w:styleId="110">
    <w:name w:val="pa-0"/>
    <w:basedOn w:val="1"/>
    <w:autoRedefine/>
    <w:qFormat/>
    <w:uiPriority w:val="0"/>
    <w:pPr>
      <w:widowControl/>
      <w:spacing w:before="150" w:after="150"/>
      <w:jc w:val="left"/>
    </w:pPr>
    <w:rPr>
      <w:rFonts w:ascii="宋体" w:hAnsi="宋体" w:cs="宋体"/>
      <w:kern w:val="0"/>
      <w:sz w:val="24"/>
    </w:rPr>
  </w:style>
  <w:style w:type="paragraph" w:customStyle="1" w:styleId="111">
    <w:name w:val="列出段落3"/>
    <w:basedOn w:val="1"/>
    <w:autoRedefine/>
    <w:qFormat/>
    <w:uiPriority w:val="99"/>
    <w:pPr>
      <w:ind w:firstLine="420" w:firstLineChars="200"/>
    </w:pPr>
  </w:style>
  <w:style w:type="paragraph" w:customStyle="1" w:styleId="112">
    <w:name w:val="列出段落4"/>
    <w:basedOn w:val="1"/>
    <w:autoRedefine/>
    <w:qFormat/>
    <w:uiPriority w:val="99"/>
    <w:pPr>
      <w:ind w:firstLine="420" w:firstLineChars="200"/>
    </w:pPr>
  </w:style>
  <w:style w:type="paragraph" w:customStyle="1" w:styleId="113">
    <w:name w:val="Default"/>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14">
    <w:name w:val="font41"/>
    <w:basedOn w:val="28"/>
    <w:autoRedefine/>
    <w:qFormat/>
    <w:uiPriority w:val="0"/>
    <w:rPr>
      <w:rFonts w:hint="default" w:ascii="Arial" w:hAnsi="Arial" w:cs="Arial"/>
      <w:color w:val="000000"/>
      <w:sz w:val="18"/>
      <w:szCs w:val="18"/>
      <w:u w:val="none"/>
    </w:rPr>
  </w:style>
  <w:style w:type="character" w:customStyle="1" w:styleId="115">
    <w:name w:val="font51"/>
    <w:basedOn w:val="28"/>
    <w:autoRedefine/>
    <w:qFormat/>
    <w:uiPriority w:val="0"/>
    <w:rPr>
      <w:rFonts w:hint="eastAsia" w:ascii="宋体" w:hAnsi="宋体" w:eastAsia="宋体" w:cs="宋体"/>
      <w:color w:val="000000"/>
      <w:sz w:val="20"/>
      <w:szCs w:val="20"/>
      <w:u w:val="none"/>
    </w:rPr>
  </w:style>
  <w:style w:type="paragraph" w:customStyle="1" w:styleId="116">
    <w:name w:val="CD正文"/>
    <w:basedOn w:val="1"/>
    <w:autoRedefine/>
    <w:qFormat/>
    <w:uiPriority w:val="0"/>
    <w:pPr>
      <w:spacing w:line="360" w:lineRule="auto"/>
      <w:ind w:firstLine="493"/>
    </w:pPr>
    <w:rPr>
      <w:sz w:val="30"/>
      <w:szCs w:val="30"/>
    </w:rPr>
  </w:style>
  <w:style w:type="paragraph" w:customStyle="1" w:styleId="117">
    <w:name w:val="List Paragraph"/>
    <w:basedOn w:val="1"/>
    <w:autoRedefine/>
    <w:qFormat/>
    <w:uiPriority w:val="99"/>
    <w:pPr>
      <w:ind w:firstLine="420" w:firstLineChars="200"/>
    </w:pPr>
  </w:style>
  <w:style w:type="character" w:customStyle="1" w:styleId="118">
    <w:name w:val="标题 2 Char"/>
    <w:link w:val="5"/>
    <w:autoRedefine/>
    <w:qFormat/>
    <w:uiPriority w:val="0"/>
    <w:rPr>
      <w:rFonts w:ascii="Calibri" w:hAnsi="Calibri" w:eastAsia="仿宋"/>
      <w:b/>
      <w:sz w:val="24"/>
    </w:rPr>
  </w:style>
  <w:style w:type="paragraph" w:customStyle="1" w:styleId="119">
    <w:name w:val="Body text|1"/>
    <w:basedOn w:val="1"/>
    <w:autoRedefine/>
    <w:qFormat/>
    <w:uiPriority w:val="0"/>
    <w:pPr>
      <w:widowControl w:val="0"/>
      <w:shd w:val="clear" w:color="auto" w:fill="auto"/>
      <w:spacing w:line="413" w:lineRule="auto"/>
      <w:ind w:firstLine="100"/>
    </w:pPr>
    <w:rPr>
      <w:rFonts w:ascii="MingLiU" w:hAnsi="MingLiU" w:eastAsia="MingLiU" w:cs="MingLiU"/>
      <w:sz w:val="20"/>
      <w:szCs w:val="20"/>
      <w:u w:val="none"/>
      <w:shd w:val="clear" w:color="auto" w:fill="auto"/>
      <w:lang w:val="zh-TW" w:eastAsia="zh-TW" w:bidi="zh-TW"/>
    </w:rPr>
  </w:style>
  <w:style w:type="paragraph" w:customStyle="1" w:styleId="120">
    <w:name w:val="_Style 6"/>
    <w:basedOn w:val="4"/>
    <w:next w:val="1"/>
    <w:autoRedefine/>
    <w:qFormat/>
    <w:uiPriority w:val="0"/>
    <w:pPr>
      <w:outlineLvl w:val="9"/>
    </w:pPr>
  </w:style>
  <w:style w:type="paragraph" w:customStyle="1" w:styleId="121">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1.png"/><Relationship Id="rId23" Type="http://schemas.openxmlformats.org/officeDocument/2006/relationships/image" Target="media/image10.jpeg"/><Relationship Id="rId22" Type="http://schemas.openxmlformats.org/officeDocument/2006/relationships/image" Target="media/image9.jpeg"/><Relationship Id="rId21" Type="http://schemas.openxmlformats.org/officeDocument/2006/relationships/image" Target="media/image8.jpe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009976</Company>
  <Pages>70</Pages>
  <Words>31622</Words>
  <Characters>34451</Characters>
  <Lines>259</Lines>
  <Paragraphs>73</Paragraphs>
  <TotalTime>2</TotalTime>
  <ScaleCrop>false</ScaleCrop>
  <LinksUpToDate>false</LinksUpToDate>
  <CharactersWithSpaces>35874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2019-11-27T06:26:00Z</dcterms:created>
  <dc:creator>88999</dc:creator>
  <cp:lastModifiedBy>久润招标</cp:lastModifiedBy>
  <cp:lastPrinted>2021-04-13T01:58:00Z</cp:lastPrinted>
  <dcterms:modified xsi:type="dcterms:W3CDTF">2024-04-29T07:32:57Z</dcterms:modified>
  <dc:subject>货物询价采购文件</dc:subject>
  <dc:title>7788</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D01E085887674E0582A0040CB6DB12F5</vt:lpwstr>
  </property>
  <property fmtid="{D5CDD505-2E9C-101B-9397-08002B2CF9AE}" pid="4" name="commondata">
    <vt:lpwstr>eyJoZGlkIjoiZTQzNzAzM2IxNGM3MzA4OWQ3ZmVmZWJmY2FkNTE0Y2YifQ==</vt:lpwstr>
  </property>
</Properties>
</file>