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Times New Roman" w:hAnsi="Times New Roman" w:eastAsia="宋体" w:cs="Times New Roman"/>
          <w:b/>
          <w:bCs/>
          <w:sz w:val="52"/>
          <w:szCs w:val="52"/>
          <w:highlight w:val="none"/>
        </w:rPr>
      </w:pPr>
    </w:p>
    <w:p>
      <w:pPr>
        <w:jc w:val="center"/>
        <w:rPr>
          <w:rFonts w:ascii="Times New Roman" w:hAnsi="Times New Roman" w:eastAsia="宋体" w:cs="Times New Roman"/>
          <w:b/>
          <w:bCs/>
          <w:sz w:val="52"/>
          <w:szCs w:val="52"/>
          <w:highlight w:val="none"/>
        </w:rPr>
      </w:pPr>
      <w:r>
        <w:rPr>
          <w:rFonts w:hint="eastAsia" w:ascii="Times New Roman" w:hAnsi="Times New Roman" w:eastAsia="宋体" w:cs="Times New Roman"/>
          <w:b/>
          <w:bCs/>
          <w:sz w:val="52"/>
          <w:szCs w:val="52"/>
          <w:highlight w:val="none"/>
        </w:rPr>
        <w:t>富顺县中医医院中药制剂委托研发服务</w:t>
      </w:r>
      <w:r>
        <w:rPr>
          <w:rFonts w:ascii="Times New Roman" w:hAnsi="Times New Roman" w:eastAsia="宋体" w:cs="Times New Roman"/>
          <w:b/>
          <w:bCs/>
          <w:sz w:val="52"/>
          <w:szCs w:val="52"/>
          <w:highlight w:val="none"/>
        </w:rPr>
        <w:t>采购需求</w:t>
      </w:r>
    </w:p>
    <w:p>
      <w:pPr>
        <w:pStyle w:val="2"/>
        <w:rPr>
          <w:highlight w:val="none"/>
        </w:rPr>
      </w:pPr>
    </w:p>
    <w:p>
      <w:pPr>
        <w:spacing w:line="360" w:lineRule="auto"/>
        <w:rPr>
          <w:rFonts w:ascii="Times New Roman" w:hAnsi="Times New Roman" w:eastAsia="宋体" w:cs="Times New Roman"/>
          <w:sz w:val="24"/>
          <w:szCs w:val="24"/>
          <w:highlight w:val="none"/>
        </w:rPr>
      </w:pPr>
      <w:r>
        <w:rPr>
          <w:rFonts w:ascii="Times New Roman" w:hAnsi="Times New Roman" w:eastAsia="宋体" w:cs="Times New Roman"/>
          <w:sz w:val="24"/>
          <w:szCs w:val="24"/>
          <w:highlight w:val="none"/>
        </w:rPr>
        <w:t>（注：带</w:t>
      </w:r>
      <w:r>
        <w:rPr>
          <w:rFonts w:hint="eastAsia" w:ascii="Times New Roman" w:hAnsi="Times New Roman" w:eastAsia="宋体" w:cs="Times New Roman"/>
          <w:sz w:val="24"/>
          <w:szCs w:val="24"/>
          <w:highlight w:val="none"/>
        </w:rPr>
        <w:t>“</w:t>
      </w:r>
      <w:r>
        <w:rPr>
          <w:rFonts w:ascii="Segoe UI Symbol" w:hAnsi="Segoe UI Symbol" w:eastAsia="宋体" w:cs="Segoe UI Symbol"/>
          <w:sz w:val="24"/>
          <w:szCs w:val="24"/>
          <w:highlight w:val="none"/>
        </w:rPr>
        <w:t>★</w:t>
      </w:r>
      <w:r>
        <w:rPr>
          <w:rFonts w:hint="eastAsia" w:ascii="Times New Roman" w:hAnsi="Times New Roman" w:eastAsia="宋体" w:cs="Times New Roman"/>
          <w:sz w:val="24"/>
          <w:szCs w:val="24"/>
          <w:highlight w:val="none"/>
        </w:rPr>
        <w:t>”</w:t>
      </w:r>
      <w:r>
        <w:rPr>
          <w:rFonts w:ascii="Times New Roman" w:hAnsi="Times New Roman" w:eastAsia="宋体" w:cs="Times New Roman"/>
          <w:sz w:val="24"/>
          <w:szCs w:val="24"/>
          <w:highlight w:val="none"/>
        </w:rPr>
        <w:t>的参数需求为实质性要求，供应商必须响应并满足的参数需求。带</w:t>
      </w:r>
      <w:r>
        <w:rPr>
          <w:rFonts w:hint="eastAsia" w:ascii="Times New Roman" w:hAnsi="Times New Roman" w:eastAsia="宋体" w:cs="Times New Roman"/>
          <w:sz w:val="24"/>
          <w:szCs w:val="24"/>
          <w:highlight w:val="none"/>
        </w:rPr>
        <w:t>“</w:t>
      </w:r>
      <w:r>
        <w:rPr>
          <w:rFonts w:ascii="Times New Roman" w:hAnsi="Times New Roman" w:eastAsia="宋体" w:cs="Times New Roman"/>
          <w:sz w:val="24"/>
          <w:szCs w:val="24"/>
          <w:highlight w:val="none"/>
        </w:rPr>
        <w:t>▲</w:t>
      </w:r>
      <w:r>
        <w:rPr>
          <w:rFonts w:hint="eastAsia" w:ascii="Times New Roman" w:hAnsi="Times New Roman" w:eastAsia="宋体" w:cs="Times New Roman"/>
          <w:sz w:val="24"/>
          <w:szCs w:val="24"/>
          <w:highlight w:val="none"/>
        </w:rPr>
        <w:t>”</w:t>
      </w:r>
      <w:r>
        <w:rPr>
          <w:rFonts w:ascii="Times New Roman" w:hAnsi="Times New Roman" w:eastAsia="宋体" w:cs="Times New Roman"/>
          <w:sz w:val="24"/>
          <w:szCs w:val="24"/>
          <w:highlight w:val="none"/>
        </w:rPr>
        <w:t>号</w:t>
      </w:r>
      <w:r>
        <w:rPr>
          <w:rFonts w:hint="eastAsia" w:ascii="Times New Roman" w:hAnsi="Times New Roman" w:eastAsia="宋体" w:cs="Times New Roman"/>
          <w:sz w:val="24"/>
          <w:szCs w:val="24"/>
          <w:highlight w:val="none"/>
          <w:lang w:eastAsia="zh-CN"/>
        </w:rPr>
        <w:t>或无标示</w:t>
      </w:r>
      <w:r>
        <w:rPr>
          <w:rFonts w:ascii="Times New Roman" w:hAnsi="Times New Roman" w:eastAsia="宋体" w:cs="Times New Roman"/>
          <w:sz w:val="24"/>
          <w:szCs w:val="24"/>
          <w:highlight w:val="none"/>
        </w:rPr>
        <w:t>条款为允许负偏离的参数需求，若未响应或者不满足，将在综合评审中予以扣分处理。）</w:t>
      </w:r>
    </w:p>
    <w:p>
      <w:pPr>
        <w:pStyle w:val="2"/>
        <w:rPr>
          <w:highlight w:val="none"/>
        </w:rPr>
      </w:pPr>
    </w:p>
    <w:p>
      <w:pPr>
        <w:spacing w:line="360" w:lineRule="auto"/>
        <w:rPr>
          <w:rFonts w:ascii="Times New Roman" w:hAnsi="Times New Roman" w:eastAsia="宋体" w:cs="Times New Roman"/>
          <w:b/>
          <w:bCs/>
          <w:sz w:val="24"/>
          <w:szCs w:val="24"/>
          <w:highlight w:val="none"/>
        </w:rPr>
      </w:pPr>
      <w:r>
        <w:rPr>
          <w:rFonts w:hint="eastAsia" w:ascii="Times New Roman" w:hAnsi="Times New Roman" w:eastAsia="宋体" w:cs="Times New Roman"/>
          <w:b/>
          <w:bCs/>
          <w:sz w:val="24"/>
          <w:szCs w:val="24"/>
          <w:highlight w:val="none"/>
        </w:rPr>
        <w:t>一、</w:t>
      </w:r>
      <w:r>
        <w:rPr>
          <w:rFonts w:ascii="Times New Roman" w:hAnsi="Times New Roman" w:eastAsia="宋体" w:cs="Times New Roman"/>
          <w:b/>
          <w:bCs/>
          <w:sz w:val="24"/>
          <w:szCs w:val="24"/>
          <w:highlight w:val="none"/>
        </w:rPr>
        <w:t xml:space="preserve"> 采购项目概况</w:t>
      </w:r>
    </w:p>
    <w:p>
      <w:pPr>
        <w:spacing w:line="360" w:lineRule="auto"/>
        <w:ind w:firstLine="480" w:firstLineChars="200"/>
        <w:rPr>
          <w:rFonts w:ascii="Times New Roman" w:hAnsi="Times New Roman" w:eastAsia="宋体" w:cs="Times New Roman"/>
          <w:sz w:val="24"/>
          <w:szCs w:val="24"/>
          <w:highlight w:val="none"/>
        </w:rPr>
      </w:pPr>
      <w:r>
        <w:rPr>
          <w:rFonts w:ascii="Times New Roman" w:hAnsi="Times New Roman" w:eastAsia="宋体" w:cs="Times New Roman"/>
          <w:sz w:val="24"/>
          <w:szCs w:val="24"/>
          <w:highlight w:val="none"/>
        </w:rPr>
        <w:t>为贯彻落实国家《</w:t>
      </w:r>
      <w:r>
        <w:rPr>
          <w:rFonts w:hint="eastAsia" w:ascii="Times New Roman" w:hAnsi="Times New Roman" w:eastAsia="宋体" w:cs="Times New Roman"/>
          <w:sz w:val="24"/>
          <w:szCs w:val="24"/>
          <w:highlight w:val="none"/>
        </w:rPr>
        <w:t>“</w:t>
      </w:r>
      <w:r>
        <w:rPr>
          <w:rFonts w:ascii="Times New Roman" w:hAnsi="Times New Roman" w:eastAsia="宋体" w:cs="Times New Roman"/>
          <w:sz w:val="24"/>
          <w:szCs w:val="24"/>
          <w:highlight w:val="none"/>
        </w:rPr>
        <w:t>十四五</w:t>
      </w:r>
      <w:r>
        <w:rPr>
          <w:rFonts w:hint="eastAsia" w:ascii="Times New Roman" w:hAnsi="Times New Roman" w:eastAsia="宋体" w:cs="Times New Roman"/>
          <w:sz w:val="24"/>
          <w:szCs w:val="24"/>
          <w:highlight w:val="none"/>
        </w:rPr>
        <w:t>”</w:t>
      </w:r>
      <w:r>
        <w:rPr>
          <w:rFonts w:ascii="Times New Roman" w:hAnsi="Times New Roman" w:eastAsia="宋体" w:cs="Times New Roman"/>
          <w:sz w:val="24"/>
          <w:szCs w:val="24"/>
          <w:highlight w:val="none"/>
        </w:rPr>
        <w:t>中医药发展规划》，以及《四川中医药</w:t>
      </w:r>
      <w:r>
        <w:rPr>
          <w:rFonts w:hint="eastAsia" w:ascii="Times New Roman" w:hAnsi="Times New Roman" w:eastAsia="宋体" w:cs="Times New Roman"/>
          <w:sz w:val="24"/>
          <w:szCs w:val="24"/>
          <w:highlight w:val="none"/>
        </w:rPr>
        <w:t>“</w:t>
      </w:r>
      <w:r>
        <w:rPr>
          <w:rFonts w:ascii="Times New Roman" w:hAnsi="Times New Roman" w:eastAsia="宋体" w:cs="Times New Roman"/>
          <w:sz w:val="24"/>
          <w:szCs w:val="24"/>
          <w:highlight w:val="none"/>
        </w:rPr>
        <w:t>十四五</w:t>
      </w:r>
      <w:r>
        <w:rPr>
          <w:rFonts w:hint="eastAsia" w:ascii="Times New Roman" w:hAnsi="Times New Roman" w:eastAsia="宋体" w:cs="Times New Roman"/>
          <w:sz w:val="24"/>
          <w:szCs w:val="24"/>
          <w:highlight w:val="none"/>
        </w:rPr>
        <w:t>”</w:t>
      </w:r>
      <w:r>
        <w:rPr>
          <w:rFonts w:ascii="Times New Roman" w:hAnsi="Times New Roman" w:eastAsia="宋体" w:cs="Times New Roman"/>
          <w:sz w:val="24"/>
          <w:szCs w:val="24"/>
          <w:highlight w:val="none"/>
        </w:rPr>
        <w:t>高质量发展规划》精神，进一步挖掘我院中医药服务能力，遴选具有安全性好，疗效可靠的经典名方及院内临方，开展</w:t>
      </w:r>
      <w:r>
        <w:rPr>
          <w:rFonts w:hint="eastAsia" w:ascii="Times New Roman" w:hAnsi="Times New Roman" w:eastAsia="宋体" w:cs="Times New Roman"/>
          <w:sz w:val="24"/>
          <w:szCs w:val="24"/>
          <w:highlight w:val="none"/>
          <w:lang w:eastAsia="zh-CN"/>
        </w:rPr>
        <w:t>中药</w:t>
      </w:r>
      <w:r>
        <w:rPr>
          <w:rFonts w:ascii="Times New Roman" w:hAnsi="Times New Roman" w:eastAsia="宋体" w:cs="Times New Roman"/>
          <w:sz w:val="24"/>
          <w:szCs w:val="24"/>
          <w:highlight w:val="none"/>
        </w:rPr>
        <w:t>制剂工艺及质量研究，并对关键质量控制条件进行技术攻关，完成完善的药学研究工作，实现院内制剂的申报备案工作,以便下一步实施院内中药制剂生产并投入临床</w:t>
      </w:r>
      <w:r>
        <w:rPr>
          <w:rFonts w:hint="eastAsia" w:ascii="Times New Roman" w:hAnsi="Times New Roman" w:eastAsia="宋体" w:cs="Times New Roman"/>
          <w:sz w:val="24"/>
          <w:szCs w:val="24"/>
          <w:highlight w:val="none"/>
        </w:rPr>
        <w:t>，</w:t>
      </w:r>
      <w:r>
        <w:rPr>
          <w:rFonts w:ascii="Times New Roman" w:hAnsi="Times New Roman" w:eastAsia="宋体" w:cs="Times New Roman"/>
          <w:sz w:val="24"/>
          <w:szCs w:val="24"/>
          <w:highlight w:val="none"/>
        </w:rPr>
        <w:t>从而进一步发挥中药的独特优势和疗效，促进我院中医药服务人民群众工作的高质量发展，体现我院中医医疗能力及特色。本项目涉及的院内中药制剂品种一个,</w:t>
      </w:r>
      <w:r>
        <w:rPr>
          <w:rFonts w:hint="eastAsia" w:ascii="Times New Roman" w:hAnsi="Times New Roman" w:eastAsia="宋体" w:cs="Times New Roman"/>
          <w:sz w:val="24"/>
          <w:szCs w:val="24"/>
          <w:highlight w:val="none"/>
          <w:lang w:eastAsia="zh-CN"/>
        </w:rPr>
        <w:t>拟</w:t>
      </w:r>
      <w:r>
        <w:rPr>
          <w:rFonts w:ascii="Times New Roman" w:hAnsi="Times New Roman" w:eastAsia="宋体" w:cs="Times New Roman"/>
          <w:sz w:val="24"/>
          <w:szCs w:val="24"/>
          <w:highlight w:val="none"/>
        </w:rPr>
        <w:t>委托供应商进行</w:t>
      </w:r>
      <w:r>
        <w:rPr>
          <w:rFonts w:hint="eastAsia" w:ascii="Times New Roman" w:hAnsi="Times New Roman" w:eastAsia="宋体" w:cs="Times New Roman"/>
          <w:sz w:val="24"/>
          <w:szCs w:val="24"/>
          <w:highlight w:val="none"/>
        </w:rPr>
        <w:t>富顺县中医医院中药制剂委托研发服务</w:t>
      </w:r>
      <w:r>
        <w:rPr>
          <w:rFonts w:ascii="Times New Roman" w:hAnsi="Times New Roman" w:eastAsia="宋体" w:cs="Times New Roman"/>
          <w:sz w:val="24"/>
          <w:szCs w:val="24"/>
          <w:highlight w:val="none"/>
        </w:rPr>
        <w:t>，研发形成备案资料，按《四川省医疗机构应用传统工艺配制中药制剂备案管理实施细则》完成备案工作，并取得备案号。</w:t>
      </w:r>
    </w:p>
    <w:p>
      <w:pPr>
        <w:pStyle w:val="2"/>
        <w:rPr>
          <w:highlight w:val="none"/>
        </w:rPr>
      </w:pPr>
    </w:p>
    <w:p>
      <w:pPr>
        <w:spacing w:line="360" w:lineRule="auto"/>
        <w:rPr>
          <w:rFonts w:ascii="Times New Roman" w:hAnsi="Times New Roman" w:eastAsia="宋体" w:cs="Times New Roman"/>
          <w:b/>
          <w:bCs/>
          <w:sz w:val="24"/>
          <w:szCs w:val="24"/>
          <w:highlight w:val="none"/>
        </w:rPr>
      </w:pPr>
      <w:r>
        <w:rPr>
          <w:rFonts w:hint="eastAsia" w:ascii="Times New Roman" w:hAnsi="Times New Roman" w:eastAsia="宋体" w:cs="Times New Roman"/>
          <w:b/>
          <w:bCs/>
          <w:sz w:val="24"/>
          <w:szCs w:val="24"/>
          <w:highlight w:val="none"/>
        </w:rPr>
        <w:t>二、</w:t>
      </w:r>
      <w:r>
        <w:rPr>
          <w:rFonts w:ascii="Times New Roman" w:hAnsi="Times New Roman" w:eastAsia="宋体" w:cs="Times New Roman"/>
          <w:b/>
          <w:bCs/>
          <w:sz w:val="24"/>
          <w:szCs w:val="24"/>
          <w:highlight w:val="none"/>
        </w:rPr>
        <w:t>服务内容及服务要求</w:t>
      </w:r>
    </w:p>
    <w:p>
      <w:pPr>
        <w:spacing w:line="360" w:lineRule="auto"/>
        <w:rPr>
          <w:rFonts w:ascii="Times New Roman" w:hAnsi="Times New Roman" w:eastAsia="宋体" w:cs="Times New Roman"/>
          <w:b/>
          <w:bCs/>
          <w:sz w:val="24"/>
          <w:szCs w:val="24"/>
          <w:highlight w:val="none"/>
        </w:rPr>
      </w:pPr>
      <w:r>
        <w:rPr>
          <w:rFonts w:ascii="Times New Roman" w:hAnsi="Times New Roman" w:eastAsia="宋体" w:cs="Times New Roman"/>
          <w:b/>
          <w:bCs/>
          <w:sz w:val="24"/>
          <w:szCs w:val="24"/>
          <w:highlight w:val="none"/>
        </w:rPr>
        <w:t>1. 服务内容</w:t>
      </w:r>
    </w:p>
    <w:tbl>
      <w:tblPr>
        <w:tblStyle w:val="8"/>
        <w:tblW w:w="902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02"/>
        <w:gridCol w:w="4851"/>
        <w:gridCol w:w="895"/>
        <w:gridCol w:w="257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2" w:type="dxa"/>
          </w:tcPr>
          <w:p>
            <w:pPr>
              <w:spacing w:line="360" w:lineRule="auto"/>
              <w:jc w:val="center"/>
              <w:rPr>
                <w:rFonts w:ascii="Times New Roman" w:hAnsi="Times New Roman" w:eastAsia="宋体" w:cs="Times New Roman"/>
                <w:sz w:val="24"/>
                <w:szCs w:val="24"/>
                <w:highlight w:val="none"/>
              </w:rPr>
            </w:pPr>
            <w:r>
              <w:rPr>
                <w:rFonts w:hint="eastAsia" w:ascii="Times New Roman" w:hAnsi="Times New Roman" w:eastAsia="宋体" w:cs="Times New Roman"/>
                <w:sz w:val="24"/>
                <w:szCs w:val="24"/>
                <w:highlight w:val="none"/>
              </w:rPr>
              <w:t>序号</w:t>
            </w:r>
          </w:p>
        </w:tc>
        <w:tc>
          <w:tcPr>
            <w:tcW w:w="4851" w:type="dxa"/>
          </w:tcPr>
          <w:p>
            <w:pPr>
              <w:spacing w:line="360" w:lineRule="auto"/>
              <w:jc w:val="center"/>
              <w:rPr>
                <w:rFonts w:ascii="Times New Roman" w:hAnsi="Times New Roman" w:eastAsia="宋体" w:cs="Times New Roman"/>
                <w:sz w:val="24"/>
                <w:szCs w:val="24"/>
                <w:highlight w:val="none"/>
              </w:rPr>
            </w:pPr>
            <w:r>
              <w:rPr>
                <w:rFonts w:hint="eastAsia" w:ascii="Times New Roman" w:hAnsi="Times New Roman" w:eastAsia="宋体" w:cs="Times New Roman"/>
                <w:sz w:val="24"/>
                <w:szCs w:val="24"/>
                <w:highlight w:val="none"/>
              </w:rPr>
              <w:t>标的名称</w:t>
            </w:r>
          </w:p>
        </w:tc>
        <w:tc>
          <w:tcPr>
            <w:tcW w:w="895" w:type="dxa"/>
          </w:tcPr>
          <w:p>
            <w:pPr>
              <w:spacing w:line="360" w:lineRule="auto"/>
              <w:jc w:val="center"/>
              <w:rPr>
                <w:rFonts w:ascii="Times New Roman" w:hAnsi="Times New Roman" w:eastAsia="宋体" w:cs="Times New Roman"/>
                <w:sz w:val="24"/>
                <w:szCs w:val="24"/>
                <w:highlight w:val="none"/>
              </w:rPr>
            </w:pPr>
            <w:r>
              <w:rPr>
                <w:rFonts w:hint="eastAsia" w:ascii="Times New Roman" w:hAnsi="Times New Roman" w:eastAsia="宋体" w:cs="Times New Roman"/>
                <w:sz w:val="24"/>
                <w:szCs w:val="24"/>
                <w:highlight w:val="none"/>
              </w:rPr>
              <w:t>数量</w:t>
            </w:r>
          </w:p>
        </w:tc>
        <w:tc>
          <w:tcPr>
            <w:tcW w:w="2576" w:type="dxa"/>
          </w:tcPr>
          <w:p>
            <w:pPr>
              <w:spacing w:line="360" w:lineRule="auto"/>
              <w:jc w:val="center"/>
              <w:rPr>
                <w:rFonts w:ascii="Times New Roman" w:hAnsi="Times New Roman" w:eastAsia="宋体" w:cs="Times New Roman"/>
                <w:sz w:val="24"/>
                <w:szCs w:val="24"/>
                <w:highlight w:val="none"/>
              </w:rPr>
            </w:pPr>
            <w:r>
              <w:rPr>
                <w:rFonts w:hint="eastAsia" w:ascii="Times New Roman" w:hAnsi="Times New Roman" w:eastAsia="宋体" w:cs="Times New Roman"/>
                <w:sz w:val="24"/>
                <w:szCs w:val="24"/>
                <w:highlight w:val="none"/>
              </w:rPr>
              <w:t>计量单位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2" w:type="dxa"/>
          </w:tcPr>
          <w:p>
            <w:pPr>
              <w:spacing w:line="360" w:lineRule="auto"/>
              <w:jc w:val="center"/>
              <w:rPr>
                <w:rFonts w:ascii="Times New Roman" w:hAnsi="Times New Roman" w:eastAsia="宋体" w:cs="Times New Roman"/>
                <w:sz w:val="24"/>
                <w:szCs w:val="24"/>
                <w:highlight w:val="none"/>
              </w:rPr>
            </w:pPr>
            <w:r>
              <w:rPr>
                <w:rFonts w:hint="eastAsia" w:ascii="Times New Roman" w:hAnsi="Times New Roman" w:eastAsia="宋体" w:cs="Times New Roman"/>
                <w:sz w:val="24"/>
                <w:szCs w:val="24"/>
                <w:highlight w:val="none"/>
              </w:rPr>
              <w:t>1</w:t>
            </w:r>
          </w:p>
        </w:tc>
        <w:tc>
          <w:tcPr>
            <w:tcW w:w="4851" w:type="dxa"/>
          </w:tcPr>
          <w:p>
            <w:pPr>
              <w:spacing w:line="360" w:lineRule="auto"/>
              <w:jc w:val="center"/>
              <w:rPr>
                <w:rFonts w:ascii="Times New Roman" w:hAnsi="Times New Roman" w:eastAsia="宋体" w:cs="Times New Roman"/>
                <w:sz w:val="24"/>
                <w:szCs w:val="24"/>
                <w:highlight w:val="none"/>
              </w:rPr>
            </w:pPr>
            <w:r>
              <w:rPr>
                <w:rFonts w:hint="eastAsia" w:ascii="Times New Roman" w:hAnsi="Times New Roman" w:eastAsia="宋体" w:cs="Times New Roman"/>
                <w:sz w:val="24"/>
                <w:szCs w:val="24"/>
                <w:highlight w:val="none"/>
              </w:rPr>
              <w:t>富顺县中医医院</w:t>
            </w:r>
            <w:r>
              <w:rPr>
                <w:rFonts w:hint="eastAsia" w:ascii="Times New Roman" w:hAnsi="Times New Roman" w:eastAsia="宋体" w:cs="Times New Roman"/>
                <w:sz w:val="24"/>
                <w:szCs w:val="24"/>
                <w:highlight w:val="none"/>
                <w:lang w:eastAsia="zh-CN"/>
              </w:rPr>
              <w:t>中药</w:t>
            </w:r>
            <w:r>
              <w:rPr>
                <w:rFonts w:hint="eastAsia" w:ascii="Times New Roman" w:hAnsi="Times New Roman" w:eastAsia="宋体" w:cs="Times New Roman"/>
                <w:sz w:val="24"/>
                <w:szCs w:val="24"/>
                <w:highlight w:val="none"/>
              </w:rPr>
              <w:t>制剂委托研发服务</w:t>
            </w:r>
          </w:p>
        </w:tc>
        <w:tc>
          <w:tcPr>
            <w:tcW w:w="895" w:type="dxa"/>
          </w:tcPr>
          <w:p>
            <w:pPr>
              <w:spacing w:line="360" w:lineRule="auto"/>
              <w:jc w:val="center"/>
              <w:rPr>
                <w:rFonts w:ascii="Times New Roman" w:hAnsi="Times New Roman" w:eastAsia="宋体" w:cs="Times New Roman"/>
                <w:sz w:val="24"/>
                <w:szCs w:val="24"/>
                <w:highlight w:val="none"/>
              </w:rPr>
            </w:pPr>
            <w:r>
              <w:rPr>
                <w:rFonts w:ascii="Times New Roman" w:hAnsi="Times New Roman" w:eastAsia="宋体" w:cs="Times New Roman"/>
                <w:sz w:val="24"/>
                <w:szCs w:val="24"/>
                <w:highlight w:val="none"/>
              </w:rPr>
              <w:t>1.00</w:t>
            </w:r>
          </w:p>
        </w:tc>
        <w:tc>
          <w:tcPr>
            <w:tcW w:w="2576" w:type="dxa"/>
          </w:tcPr>
          <w:p>
            <w:pPr>
              <w:spacing w:line="360" w:lineRule="auto"/>
              <w:jc w:val="center"/>
              <w:rPr>
                <w:rFonts w:ascii="Times New Roman" w:hAnsi="Times New Roman" w:eastAsia="宋体" w:cs="Times New Roman"/>
                <w:sz w:val="24"/>
                <w:szCs w:val="24"/>
                <w:highlight w:val="none"/>
              </w:rPr>
            </w:pPr>
            <w:r>
              <w:rPr>
                <w:rFonts w:hint="eastAsia" w:ascii="Times New Roman" w:hAnsi="Times New Roman" w:eastAsia="宋体" w:cs="Times New Roman"/>
                <w:sz w:val="24"/>
                <w:szCs w:val="24"/>
                <w:highlight w:val="none"/>
              </w:rPr>
              <w:t>项</w:t>
            </w:r>
          </w:p>
        </w:tc>
      </w:tr>
    </w:tbl>
    <w:p>
      <w:pPr>
        <w:spacing w:line="360" w:lineRule="auto"/>
        <w:rPr>
          <w:rFonts w:ascii="Times New Roman" w:hAnsi="Times New Roman" w:eastAsia="宋体" w:cs="Times New Roman"/>
          <w:b/>
          <w:bCs/>
          <w:sz w:val="24"/>
          <w:szCs w:val="24"/>
          <w:highlight w:val="none"/>
        </w:rPr>
      </w:pPr>
    </w:p>
    <w:p>
      <w:pPr>
        <w:spacing w:line="360" w:lineRule="auto"/>
        <w:rPr>
          <w:rFonts w:ascii="Times New Roman" w:hAnsi="Times New Roman" w:eastAsia="宋体" w:cs="Times New Roman"/>
          <w:b/>
          <w:bCs/>
          <w:sz w:val="24"/>
          <w:szCs w:val="24"/>
          <w:highlight w:val="none"/>
        </w:rPr>
      </w:pPr>
      <w:r>
        <w:rPr>
          <w:rFonts w:ascii="Times New Roman" w:hAnsi="Times New Roman" w:eastAsia="宋体" w:cs="Times New Roman"/>
          <w:b/>
          <w:bCs/>
          <w:sz w:val="24"/>
          <w:szCs w:val="24"/>
          <w:highlight w:val="none"/>
        </w:rPr>
        <w:t>2. 服务要求</w:t>
      </w:r>
    </w:p>
    <w:p>
      <w:pPr>
        <w:spacing w:line="360" w:lineRule="auto"/>
        <w:rPr>
          <w:rFonts w:ascii="Times New Roman" w:hAnsi="Times New Roman" w:eastAsia="宋体" w:cs="Times New Roman"/>
          <w:b/>
          <w:bCs/>
          <w:sz w:val="24"/>
          <w:szCs w:val="24"/>
          <w:highlight w:val="none"/>
        </w:rPr>
      </w:pPr>
      <w:r>
        <w:rPr>
          <w:rFonts w:ascii="Times New Roman" w:hAnsi="Times New Roman" w:eastAsia="宋体" w:cs="Times New Roman"/>
          <w:b/>
          <w:bCs/>
          <w:sz w:val="24"/>
          <w:szCs w:val="24"/>
          <w:highlight w:val="none"/>
        </w:rPr>
        <w:t xml:space="preserve">2.1 </w:t>
      </w:r>
      <w:r>
        <w:rPr>
          <w:highlight w:val="none"/>
        </w:rPr>
        <w:t>★</w:t>
      </w:r>
      <w:r>
        <w:rPr>
          <w:rFonts w:hint="eastAsia" w:ascii="Times New Roman" w:hAnsi="Times New Roman" w:eastAsia="宋体" w:cs="Times New Roman"/>
          <w:b/>
          <w:bCs/>
          <w:sz w:val="24"/>
          <w:szCs w:val="24"/>
          <w:highlight w:val="none"/>
        </w:rPr>
        <w:t>传统中药备案品种委托研发的主要内容：</w:t>
      </w:r>
    </w:p>
    <w:tbl>
      <w:tblPr>
        <w:tblStyle w:val="8"/>
        <w:tblW w:w="937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59"/>
        <w:gridCol w:w="1659"/>
        <w:gridCol w:w="3393"/>
        <w:gridCol w:w="266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59" w:type="dxa"/>
          </w:tcPr>
          <w:p>
            <w:pPr>
              <w:spacing w:line="360" w:lineRule="auto"/>
              <w:jc w:val="center"/>
              <w:rPr>
                <w:rFonts w:ascii="Times New Roman" w:hAnsi="Times New Roman" w:eastAsia="宋体" w:cs="Times New Roman"/>
                <w:sz w:val="24"/>
                <w:szCs w:val="24"/>
                <w:highlight w:val="none"/>
              </w:rPr>
            </w:pPr>
            <w:r>
              <w:rPr>
                <w:rFonts w:hint="eastAsia" w:ascii="Times New Roman" w:hAnsi="Times New Roman" w:eastAsia="宋体" w:cs="Times New Roman"/>
                <w:sz w:val="24"/>
                <w:szCs w:val="24"/>
                <w:highlight w:val="none"/>
              </w:rPr>
              <w:t>序号</w:t>
            </w:r>
          </w:p>
        </w:tc>
        <w:tc>
          <w:tcPr>
            <w:tcW w:w="1659" w:type="dxa"/>
          </w:tcPr>
          <w:p>
            <w:pPr>
              <w:spacing w:line="360" w:lineRule="auto"/>
              <w:jc w:val="center"/>
              <w:rPr>
                <w:rFonts w:ascii="Times New Roman" w:hAnsi="Times New Roman" w:eastAsia="宋体" w:cs="Times New Roman"/>
                <w:sz w:val="24"/>
                <w:szCs w:val="24"/>
                <w:highlight w:val="none"/>
              </w:rPr>
            </w:pPr>
            <w:r>
              <w:rPr>
                <w:rFonts w:hint="eastAsia" w:ascii="Times New Roman" w:hAnsi="Times New Roman" w:eastAsia="宋体" w:cs="Times New Roman"/>
                <w:sz w:val="24"/>
                <w:szCs w:val="24"/>
                <w:highlight w:val="none"/>
              </w:rPr>
              <w:t>中药院内制剂</w:t>
            </w:r>
          </w:p>
          <w:p>
            <w:pPr>
              <w:spacing w:line="360" w:lineRule="auto"/>
              <w:jc w:val="center"/>
              <w:rPr>
                <w:rFonts w:ascii="Times New Roman" w:hAnsi="Times New Roman" w:eastAsia="宋体" w:cs="Times New Roman"/>
                <w:sz w:val="24"/>
                <w:szCs w:val="24"/>
                <w:highlight w:val="none"/>
              </w:rPr>
            </w:pPr>
            <w:r>
              <w:rPr>
                <w:rFonts w:hint="eastAsia" w:ascii="Times New Roman" w:hAnsi="Times New Roman" w:eastAsia="宋体" w:cs="Times New Roman"/>
                <w:sz w:val="24"/>
                <w:szCs w:val="24"/>
                <w:highlight w:val="none"/>
              </w:rPr>
              <w:t>备案品种名称</w:t>
            </w:r>
          </w:p>
        </w:tc>
        <w:tc>
          <w:tcPr>
            <w:tcW w:w="3393" w:type="dxa"/>
          </w:tcPr>
          <w:p>
            <w:pPr>
              <w:spacing w:line="360" w:lineRule="auto"/>
              <w:jc w:val="center"/>
              <w:rPr>
                <w:rFonts w:ascii="Times New Roman" w:hAnsi="Times New Roman" w:eastAsia="宋体" w:cs="Times New Roman"/>
                <w:sz w:val="24"/>
                <w:szCs w:val="24"/>
                <w:highlight w:val="none"/>
              </w:rPr>
            </w:pPr>
            <w:r>
              <w:rPr>
                <w:rFonts w:hint="eastAsia" w:ascii="Times New Roman" w:hAnsi="Times New Roman" w:eastAsia="宋体" w:cs="Times New Roman"/>
                <w:sz w:val="24"/>
                <w:szCs w:val="24"/>
                <w:highlight w:val="none"/>
              </w:rPr>
              <w:t>研究内容</w:t>
            </w:r>
          </w:p>
        </w:tc>
        <w:tc>
          <w:tcPr>
            <w:tcW w:w="2668" w:type="dxa"/>
          </w:tcPr>
          <w:p>
            <w:pPr>
              <w:spacing w:line="360" w:lineRule="auto"/>
              <w:jc w:val="center"/>
              <w:rPr>
                <w:rFonts w:ascii="Times New Roman" w:hAnsi="Times New Roman" w:eastAsia="宋体" w:cs="Times New Roman"/>
                <w:sz w:val="24"/>
                <w:szCs w:val="24"/>
                <w:highlight w:val="none"/>
              </w:rPr>
            </w:pPr>
            <w:r>
              <w:rPr>
                <w:rFonts w:hint="eastAsia" w:ascii="Times New Roman" w:hAnsi="Times New Roman" w:eastAsia="宋体" w:cs="Times New Roman"/>
                <w:sz w:val="24"/>
                <w:szCs w:val="24"/>
                <w:highlight w:val="none"/>
              </w:rPr>
              <w:t>研究成果要求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92" w:hRule="atLeast"/>
        </w:trPr>
        <w:tc>
          <w:tcPr>
            <w:tcW w:w="1659" w:type="dxa"/>
          </w:tcPr>
          <w:p>
            <w:pPr>
              <w:spacing w:line="360" w:lineRule="auto"/>
              <w:jc w:val="center"/>
              <w:rPr>
                <w:rFonts w:ascii="Times New Roman" w:hAnsi="Times New Roman" w:eastAsia="宋体" w:cs="Times New Roman"/>
                <w:sz w:val="24"/>
                <w:szCs w:val="24"/>
                <w:highlight w:val="none"/>
              </w:rPr>
            </w:pPr>
            <w:r>
              <w:rPr>
                <w:rFonts w:hint="eastAsia" w:ascii="Times New Roman" w:hAnsi="Times New Roman" w:eastAsia="宋体" w:cs="Times New Roman"/>
                <w:sz w:val="24"/>
                <w:szCs w:val="24"/>
                <w:highlight w:val="none"/>
              </w:rPr>
              <w:t>1</w:t>
            </w:r>
          </w:p>
        </w:tc>
        <w:tc>
          <w:tcPr>
            <w:tcW w:w="1659" w:type="dxa"/>
          </w:tcPr>
          <w:p>
            <w:pPr>
              <w:spacing w:line="360" w:lineRule="auto"/>
              <w:jc w:val="center"/>
              <w:rPr>
                <w:rFonts w:hint="eastAsia" w:ascii="Times New Roman" w:hAnsi="Times New Roman" w:eastAsia="宋体" w:cs="Times New Roman"/>
                <w:sz w:val="24"/>
                <w:szCs w:val="24"/>
                <w:highlight w:val="none"/>
                <w:lang w:eastAsia="zh-CN"/>
              </w:rPr>
            </w:pPr>
            <w:r>
              <w:rPr>
                <w:rFonts w:hint="eastAsia" w:ascii="Times New Roman" w:hAnsi="Times New Roman" w:eastAsia="宋体" w:cs="Times New Roman"/>
                <w:sz w:val="24"/>
                <w:szCs w:val="24"/>
                <w:highlight w:val="none"/>
                <w:lang w:eastAsia="zh-CN"/>
              </w:rPr>
              <w:t>灌肠方</w:t>
            </w:r>
          </w:p>
        </w:tc>
        <w:tc>
          <w:tcPr>
            <w:tcW w:w="3393" w:type="dxa"/>
          </w:tcPr>
          <w:p>
            <w:pPr>
              <w:autoSpaceDE w:val="0"/>
              <w:autoSpaceDN w:val="0"/>
              <w:adjustRightInd w:val="0"/>
              <w:ind w:firstLine="480" w:firstLineChars="200"/>
              <w:jc w:val="left"/>
              <w:rPr>
                <w:rFonts w:hint="eastAsia" w:ascii="Times New Roman" w:hAnsi="Times New Roman" w:eastAsia="宋体" w:cs="Times New Roman"/>
                <w:sz w:val="24"/>
                <w:szCs w:val="24"/>
                <w:highlight w:val="none"/>
              </w:rPr>
            </w:pPr>
            <w:r>
              <w:rPr>
                <w:rFonts w:hint="eastAsia" w:ascii="Times New Roman" w:hAnsi="Times New Roman" w:eastAsia="宋体" w:cs="Times New Roman"/>
                <w:sz w:val="24"/>
                <w:szCs w:val="24"/>
                <w:highlight w:val="none"/>
              </w:rPr>
              <w:t>工艺、质量标准部分：应按照《四川省医疗机构应用传统工艺配制中药制剂备案管理实施细则》要求，完成制剂工艺、质量标准研究工作及五号资料（标签和说明书设计样稿）、七号资料（详细的配制工艺及工艺研究资料）、八号资料（质量研究的试验资料及文献资料）、九号资料（制剂的内控标准及起草说明）、十号资料（制剂的稳定性试验资料）、十一号资料（连续3批样品的自检报告书）、十二号资料（原、辅料的来源及质量标准，包括药材的基原及鉴定依据、前处理、炮制工艺、有无毒药性等）、十三号资料（直接接触制剂的包装材料和容器的选择依据及质量标准）的撰写。</w:t>
            </w:r>
          </w:p>
          <w:p>
            <w:pPr>
              <w:autoSpaceDE w:val="0"/>
              <w:autoSpaceDN w:val="0"/>
              <w:adjustRightInd w:val="0"/>
              <w:ind w:firstLine="480" w:firstLineChars="200"/>
              <w:jc w:val="left"/>
              <w:rPr>
                <w:rFonts w:hint="eastAsia" w:eastAsia="宋体"/>
                <w:highlight w:val="none"/>
                <w:lang w:val="en-US" w:eastAsia="zh-CN"/>
              </w:rPr>
            </w:pPr>
            <w:r>
              <w:rPr>
                <w:rFonts w:hint="eastAsia" w:ascii="Times New Roman" w:hAnsi="Times New Roman" w:eastAsia="宋体" w:cs="Times New Roman"/>
                <w:sz w:val="24"/>
                <w:szCs w:val="24"/>
                <w:highlight w:val="none"/>
              </w:rPr>
              <w:t>过敏试验、急性毒性试验及其他需做的试验。按照《四川省医疗机构应用传统工艺配制中药制剂备案管理实施细则》要求，完成十五号资料（单次给药毒性试验资料及文献资料）的撰写。</w:t>
            </w:r>
          </w:p>
          <w:p>
            <w:pPr>
              <w:autoSpaceDE w:val="0"/>
              <w:autoSpaceDN w:val="0"/>
              <w:adjustRightInd w:val="0"/>
              <w:ind w:firstLine="480" w:firstLineChars="200"/>
              <w:jc w:val="left"/>
              <w:rPr>
                <w:rFonts w:ascii="宋体" w:eastAsia="宋体" w:cs="宋体"/>
                <w:color w:val="333333"/>
                <w:kern w:val="0"/>
                <w:sz w:val="24"/>
                <w:szCs w:val="24"/>
                <w:highlight w:val="none"/>
              </w:rPr>
            </w:pPr>
            <w:r>
              <w:rPr>
                <w:rFonts w:hint="eastAsia" w:ascii="Times New Roman" w:hAnsi="Times New Roman" w:eastAsia="宋体" w:cs="Times New Roman"/>
                <w:sz w:val="24"/>
                <w:szCs w:val="24"/>
                <w:highlight w:val="none"/>
              </w:rPr>
              <w:t>完成该处方院内制剂备案资料撰写。</w:t>
            </w:r>
          </w:p>
        </w:tc>
        <w:tc>
          <w:tcPr>
            <w:tcW w:w="2668" w:type="dxa"/>
          </w:tcPr>
          <w:p>
            <w:pPr>
              <w:spacing w:line="360" w:lineRule="auto"/>
              <w:ind w:firstLine="480" w:firstLineChars="200"/>
              <w:jc w:val="left"/>
              <w:rPr>
                <w:rFonts w:ascii="Times New Roman" w:hAnsi="Times New Roman" w:eastAsia="宋体" w:cs="Times New Roman"/>
                <w:sz w:val="24"/>
                <w:szCs w:val="24"/>
                <w:highlight w:val="none"/>
              </w:rPr>
            </w:pPr>
            <w:r>
              <w:rPr>
                <w:rFonts w:ascii="Times New Roman" w:hAnsi="Times New Roman" w:eastAsia="宋体" w:cs="Times New Roman"/>
                <w:sz w:val="24"/>
                <w:szCs w:val="24"/>
                <w:highlight w:val="none"/>
              </w:rPr>
              <w:t>1.</w:t>
            </w:r>
            <w:r>
              <w:rPr>
                <w:rFonts w:hint="eastAsia" w:ascii="Times New Roman" w:hAnsi="Times New Roman" w:eastAsia="宋体" w:cs="Times New Roman"/>
                <w:sz w:val="24"/>
                <w:szCs w:val="24"/>
                <w:highlight w:val="none"/>
              </w:rPr>
              <w:t>确定该处方工艺的标准化生产规程。</w:t>
            </w:r>
          </w:p>
          <w:p>
            <w:pPr>
              <w:spacing w:line="360" w:lineRule="auto"/>
              <w:ind w:firstLine="480" w:firstLineChars="200"/>
              <w:jc w:val="left"/>
              <w:rPr>
                <w:rFonts w:ascii="Times New Roman" w:hAnsi="Times New Roman" w:eastAsia="宋体" w:cs="Times New Roman"/>
                <w:sz w:val="24"/>
                <w:szCs w:val="24"/>
                <w:highlight w:val="none"/>
              </w:rPr>
            </w:pPr>
            <w:r>
              <w:rPr>
                <w:rFonts w:ascii="Times New Roman" w:hAnsi="Times New Roman" w:eastAsia="宋体" w:cs="Times New Roman"/>
                <w:sz w:val="24"/>
                <w:szCs w:val="24"/>
                <w:highlight w:val="none"/>
              </w:rPr>
              <w:t>2.</w:t>
            </w:r>
            <w:r>
              <w:rPr>
                <w:rFonts w:hint="eastAsia" w:ascii="Times New Roman" w:hAnsi="Times New Roman" w:eastAsia="宋体" w:cs="Times New Roman"/>
                <w:sz w:val="24"/>
                <w:szCs w:val="24"/>
                <w:highlight w:val="none"/>
              </w:rPr>
              <w:t>建立该处方的质量标准、完成稳定性研究，</w:t>
            </w:r>
            <w:r>
              <w:rPr>
                <w:rFonts w:hint="eastAsia" w:ascii="Times New Roman" w:hAnsi="Times New Roman" w:eastAsia="宋体" w:cs="Times New Roman"/>
                <w:sz w:val="24"/>
                <w:szCs w:val="24"/>
                <w:highlight w:val="none"/>
                <w:lang w:eastAsia="zh-CN"/>
              </w:rPr>
              <w:t>根据</w:t>
            </w:r>
            <w:r>
              <w:rPr>
                <w:rFonts w:hint="eastAsia" w:ascii="Times New Roman" w:hAnsi="Times New Roman" w:eastAsia="宋体" w:cs="Times New Roman"/>
                <w:sz w:val="24"/>
                <w:szCs w:val="24"/>
                <w:highlight w:val="none"/>
              </w:rPr>
              <w:t>《四川省医疗机构应用传统工艺配制中药制剂备案管理实施细则》要求形成备案资料。</w:t>
            </w:r>
          </w:p>
          <w:p>
            <w:pPr>
              <w:spacing w:line="360" w:lineRule="auto"/>
              <w:ind w:firstLine="480" w:firstLineChars="200"/>
              <w:jc w:val="left"/>
              <w:rPr>
                <w:rFonts w:ascii="Times New Roman" w:hAnsi="Times New Roman" w:eastAsia="宋体" w:cs="Times New Roman"/>
                <w:sz w:val="24"/>
                <w:szCs w:val="24"/>
                <w:highlight w:val="none"/>
              </w:rPr>
            </w:pPr>
            <w:r>
              <w:rPr>
                <w:rFonts w:ascii="Times New Roman" w:hAnsi="Times New Roman" w:eastAsia="宋体" w:cs="Times New Roman"/>
                <w:sz w:val="24"/>
                <w:szCs w:val="24"/>
                <w:highlight w:val="none"/>
              </w:rPr>
              <w:t>3.</w:t>
            </w:r>
            <w:r>
              <w:rPr>
                <w:rFonts w:hint="eastAsia" w:ascii="Times New Roman" w:hAnsi="Times New Roman" w:eastAsia="宋体" w:cs="Times New Roman"/>
                <w:sz w:val="24"/>
                <w:szCs w:val="24"/>
                <w:highlight w:val="none"/>
              </w:rPr>
              <w:t>协助采购人按四川省药品监管理局要求完成该处方制剂首次备案工作，备案完成后，供应商还应继续完成制剂</w:t>
            </w:r>
            <w:r>
              <w:rPr>
                <w:rFonts w:hint="eastAsia" w:ascii="Times New Roman" w:hAnsi="Times New Roman" w:eastAsia="宋体" w:cs="Times New Roman"/>
                <w:sz w:val="24"/>
                <w:szCs w:val="24"/>
                <w:highlight w:val="none"/>
                <w:lang w:eastAsia="zh-CN"/>
              </w:rPr>
              <w:t>长期</w:t>
            </w:r>
            <w:r>
              <w:rPr>
                <w:rFonts w:hint="eastAsia" w:ascii="Times New Roman" w:hAnsi="Times New Roman" w:eastAsia="宋体" w:cs="Times New Roman"/>
                <w:sz w:val="24"/>
                <w:szCs w:val="24"/>
                <w:highlight w:val="none"/>
              </w:rPr>
              <w:t>稳定性相关实验并提交备案更改资料。</w:t>
            </w:r>
          </w:p>
        </w:tc>
      </w:tr>
    </w:tbl>
    <w:p>
      <w:pPr>
        <w:spacing w:line="360" w:lineRule="auto"/>
        <w:rPr>
          <w:rFonts w:hint="eastAsia" w:ascii="Times New Roman" w:hAnsi="Times New Roman" w:eastAsia="宋体" w:cs="Times New Roman"/>
          <w:b/>
          <w:bCs/>
          <w:sz w:val="24"/>
          <w:szCs w:val="24"/>
          <w:highlight w:val="none"/>
        </w:rPr>
      </w:pPr>
      <w:r>
        <w:rPr>
          <w:rFonts w:ascii="Times New Roman" w:hAnsi="Times New Roman" w:eastAsia="宋体" w:cs="Times New Roman"/>
          <w:b/>
          <w:bCs/>
          <w:sz w:val="24"/>
          <w:szCs w:val="24"/>
          <w:highlight w:val="none"/>
        </w:rPr>
        <w:t xml:space="preserve">2.2 </w:t>
      </w:r>
      <w:r>
        <w:rPr>
          <w:highlight w:val="none"/>
        </w:rPr>
        <w:t>★</w:t>
      </w:r>
      <w:r>
        <w:rPr>
          <w:rFonts w:hint="eastAsia" w:ascii="Times New Roman" w:hAnsi="Times New Roman" w:eastAsia="宋体" w:cs="Times New Roman"/>
          <w:b/>
          <w:bCs/>
          <w:sz w:val="24"/>
          <w:szCs w:val="24"/>
          <w:highlight w:val="none"/>
        </w:rPr>
        <w:t>具体备案资料</w:t>
      </w:r>
    </w:p>
    <w:p>
      <w:pPr>
        <w:spacing w:line="360" w:lineRule="auto"/>
        <w:ind w:firstLine="480" w:firstLineChars="200"/>
        <w:rPr>
          <w:rFonts w:hint="eastAsia" w:ascii="Times New Roman" w:hAnsi="Times New Roman" w:eastAsia="宋体" w:cs="Times New Roman"/>
          <w:sz w:val="24"/>
          <w:szCs w:val="24"/>
          <w:highlight w:val="none"/>
          <w:lang w:eastAsia="zh-CN"/>
        </w:rPr>
      </w:pPr>
      <w:r>
        <w:rPr>
          <w:rFonts w:hint="eastAsia" w:ascii="Times New Roman" w:hAnsi="Times New Roman" w:eastAsia="宋体" w:cs="Times New Roman"/>
          <w:sz w:val="24"/>
          <w:szCs w:val="24"/>
          <w:highlight w:val="none"/>
        </w:rPr>
        <w:t>资料收集、整理部分：应按照《四川省医疗机构应用传统工艺配制中药制剂备案管理实施细则》要求，协助、指导完成（《传统工艺配制中药制剂备案申请表》）、首次备案证明性文件、首次备案说明书样稿、首次备案标签样稿</w:t>
      </w:r>
      <w:r>
        <w:rPr>
          <w:rFonts w:hint="eastAsia" w:ascii="Times New Roman" w:hAnsi="Times New Roman" w:eastAsia="宋体" w:cs="Times New Roman"/>
          <w:sz w:val="24"/>
          <w:szCs w:val="24"/>
          <w:highlight w:val="none"/>
          <w:lang w:eastAsia="zh-CN"/>
        </w:rPr>
        <w:t>等</w:t>
      </w:r>
      <w:r>
        <w:rPr>
          <w:rFonts w:hint="eastAsia" w:ascii="Times New Roman" w:hAnsi="Times New Roman" w:eastAsia="宋体" w:cs="Times New Roman"/>
          <w:sz w:val="24"/>
          <w:szCs w:val="24"/>
          <w:highlight w:val="none"/>
        </w:rPr>
        <w:t>。协助整理所有申报资料，上传至四川省政务服务网备案，直至备案成功。</w:t>
      </w:r>
      <w:r>
        <w:rPr>
          <w:rFonts w:hint="eastAsia" w:ascii="Times New Roman" w:hAnsi="Times New Roman" w:eastAsia="宋体" w:cs="Times New Roman"/>
          <w:sz w:val="24"/>
          <w:szCs w:val="24"/>
          <w:highlight w:val="none"/>
          <w:lang w:eastAsia="zh-CN"/>
        </w:rPr>
        <w:t>包括但不限于：</w:t>
      </w:r>
    </w:p>
    <w:p>
      <w:pPr>
        <w:spacing w:line="360" w:lineRule="auto"/>
        <w:ind w:firstLine="480" w:firstLineChars="200"/>
        <w:rPr>
          <w:rFonts w:hint="eastAsia" w:ascii="Times New Roman" w:hAnsi="Times New Roman" w:eastAsia="宋体" w:cs="Times New Roman"/>
          <w:sz w:val="24"/>
          <w:szCs w:val="24"/>
          <w:highlight w:val="none"/>
          <w:lang w:eastAsia="zh-CN"/>
        </w:rPr>
      </w:pPr>
      <w:r>
        <w:rPr>
          <w:rFonts w:ascii="Times New Roman" w:hAnsi="Times New Roman" w:eastAsia="宋体" w:cs="Times New Roman"/>
          <w:sz w:val="24"/>
          <w:szCs w:val="24"/>
          <w:highlight w:val="none"/>
        </w:rPr>
        <w:t>1</w:t>
      </w:r>
      <w:r>
        <w:rPr>
          <w:rFonts w:hint="eastAsia" w:ascii="Times New Roman" w:hAnsi="Times New Roman" w:eastAsia="宋体" w:cs="Times New Roman"/>
          <w:sz w:val="24"/>
          <w:szCs w:val="24"/>
          <w:highlight w:val="none"/>
          <w:lang w:eastAsia="zh-CN"/>
        </w:rPr>
        <w:t>、</w:t>
      </w:r>
      <w:r>
        <w:rPr>
          <w:rFonts w:hint="eastAsia" w:ascii="Times New Roman" w:hAnsi="Times New Roman" w:eastAsia="宋体" w:cs="Times New Roman"/>
          <w:sz w:val="24"/>
          <w:szCs w:val="24"/>
          <w:highlight w:val="none"/>
        </w:rPr>
        <w:t>传统中药制剂备案表</w:t>
      </w:r>
      <w:r>
        <w:rPr>
          <w:rFonts w:hint="eastAsia" w:ascii="Times New Roman" w:hAnsi="Times New Roman" w:eastAsia="宋体" w:cs="Times New Roman"/>
          <w:sz w:val="24"/>
          <w:szCs w:val="24"/>
          <w:highlight w:val="none"/>
          <w:lang w:eastAsia="zh-CN"/>
        </w:rPr>
        <w:t>。</w:t>
      </w:r>
    </w:p>
    <w:p>
      <w:pPr>
        <w:spacing w:line="360" w:lineRule="auto"/>
        <w:ind w:firstLine="480" w:firstLineChars="200"/>
        <w:rPr>
          <w:rFonts w:ascii="Times New Roman" w:hAnsi="Times New Roman" w:eastAsia="宋体" w:cs="Times New Roman"/>
          <w:sz w:val="24"/>
          <w:szCs w:val="24"/>
          <w:highlight w:val="none"/>
        </w:rPr>
      </w:pPr>
      <w:bookmarkStart w:id="0" w:name="_GoBack"/>
      <w:bookmarkEnd w:id="0"/>
      <w:r>
        <w:rPr>
          <w:rFonts w:hint="eastAsia" w:ascii="Times New Roman" w:hAnsi="Times New Roman" w:eastAsia="宋体" w:cs="Times New Roman"/>
          <w:sz w:val="24"/>
          <w:szCs w:val="24"/>
          <w:highlight w:val="none"/>
          <w:lang w:val="en-US" w:eastAsia="zh-CN"/>
        </w:rPr>
        <w:t>2、</w:t>
      </w:r>
      <w:r>
        <w:rPr>
          <w:rFonts w:ascii="Times New Roman" w:hAnsi="Times New Roman" w:eastAsia="宋体" w:cs="Times New Roman"/>
          <w:sz w:val="24"/>
          <w:szCs w:val="24"/>
          <w:highlight w:val="none"/>
        </w:rPr>
        <w:t>制剂名称及命名依据。</w:t>
      </w:r>
    </w:p>
    <w:p>
      <w:pPr>
        <w:spacing w:line="360" w:lineRule="auto"/>
        <w:ind w:firstLine="480" w:firstLineChars="200"/>
        <w:rPr>
          <w:rFonts w:ascii="Times New Roman" w:hAnsi="Times New Roman" w:eastAsia="宋体" w:cs="Times New Roman"/>
          <w:sz w:val="24"/>
          <w:szCs w:val="24"/>
          <w:highlight w:val="none"/>
        </w:rPr>
      </w:pPr>
      <w:r>
        <w:rPr>
          <w:rFonts w:hint="eastAsia" w:ascii="Times New Roman" w:hAnsi="Times New Roman" w:eastAsia="宋体" w:cs="Times New Roman"/>
          <w:sz w:val="24"/>
          <w:szCs w:val="24"/>
          <w:highlight w:val="none"/>
          <w:lang w:val="en-US" w:eastAsia="zh-CN"/>
        </w:rPr>
        <w:t>3、</w:t>
      </w:r>
      <w:r>
        <w:rPr>
          <w:rFonts w:ascii="Times New Roman" w:hAnsi="Times New Roman" w:eastAsia="宋体" w:cs="Times New Roman"/>
          <w:sz w:val="24"/>
          <w:szCs w:val="24"/>
          <w:highlight w:val="none"/>
        </w:rPr>
        <w:t>立题目的和依据。</w:t>
      </w:r>
    </w:p>
    <w:p>
      <w:pPr>
        <w:spacing w:line="360" w:lineRule="auto"/>
        <w:ind w:firstLine="480" w:firstLineChars="200"/>
        <w:rPr>
          <w:rFonts w:ascii="Times New Roman" w:hAnsi="Times New Roman" w:eastAsia="宋体" w:cs="Times New Roman"/>
          <w:sz w:val="24"/>
          <w:szCs w:val="24"/>
          <w:highlight w:val="none"/>
        </w:rPr>
      </w:pPr>
      <w:r>
        <w:rPr>
          <w:rFonts w:hint="eastAsia" w:ascii="Times New Roman" w:hAnsi="Times New Roman" w:eastAsia="宋体" w:cs="Times New Roman"/>
          <w:sz w:val="24"/>
          <w:szCs w:val="24"/>
          <w:highlight w:val="none"/>
          <w:lang w:val="en-US" w:eastAsia="zh-CN"/>
        </w:rPr>
        <w:t>4、</w:t>
      </w:r>
      <w:r>
        <w:rPr>
          <w:rFonts w:hint="eastAsia" w:ascii="Times New Roman" w:hAnsi="Times New Roman" w:eastAsia="宋体" w:cs="Times New Roman"/>
          <w:sz w:val="24"/>
          <w:szCs w:val="24"/>
          <w:highlight w:val="none"/>
        </w:rPr>
        <w:t>证明性文件</w:t>
      </w:r>
      <w:r>
        <w:rPr>
          <w:rFonts w:hint="eastAsia" w:ascii="Times New Roman" w:hAnsi="Times New Roman" w:eastAsia="宋体" w:cs="Times New Roman"/>
          <w:sz w:val="24"/>
          <w:szCs w:val="24"/>
          <w:highlight w:val="none"/>
          <w:lang w:val="en-US" w:eastAsia="zh-CN"/>
        </w:rPr>
        <w:t>：</w:t>
      </w:r>
      <w:r>
        <w:rPr>
          <w:rFonts w:ascii="Times New Roman" w:hAnsi="Times New Roman" w:eastAsia="宋体" w:cs="Times New Roman"/>
          <w:sz w:val="24"/>
          <w:szCs w:val="24"/>
          <w:highlight w:val="none"/>
        </w:rPr>
        <w:t>医疗机构制剂或者使用的处方、工艺等的专利情况及其权属状态说明，以及对</w:t>
      </w:r>
      <w:r>
        <w:rPr>
          <w:rFonts w:hint="eastAsia" w:ascii="Times New Roman" w:hAnsi="Times New Roman" w:eastAsia="宋体" w:cs="Times New Roman"/>
          <w:sz w:val="24"/>
          <w:szCs w:val="24"/>
          <w:highlight w:val="none"/>
        </w:rPr>
        <w:t>他人的专利不构成侵权的保证书</w:t>
      </w:r>
      <w:r>
        <w:rPr>
          <w:rFonts w:hint="eastAsia" w:ascii="Times New Roman" w:hAnsi="Times New Roman" w:eastAsia="宋体" w:cs="Times New Roman"/>
          <w:sz w:val="24"/>
          <w:szCs w:val="24"/>
          <w:highlight w:val="none"/>
          <w:lang w:eastAsia="zh-CN"/>
        </w:rPr>
        <w:t>等</w:t>
      </w:r>
      <w:r>
        <w:rPr>
          <w:rFonts w:hint="eastAsia" w:ascii="Times New Roman" w:hAnsi="Times New Roman" w:eastAsia="宋体" w:cs="Times New Roman"/>
          <w:sz w:val="24"/>
          <w:szCs w:val="24"/>
          <w:highlight w:val="none"/>
        </w:rPr>
        <w:t>。</w:t>
      </w:r>
    </w:p>
    <w:p>
      <w:pPr>
        <w:spacing w:line="360" w:lineRule="auto"/>
        <w:ind w:firstLine="480" w:firstLineChars="200"/>
        <w:rPr>
          <w:rFonts w:ascii="Times New Roman" w:hAnsi="Times New Roman" w:eastAsia="宋体" w:cs="Times New Roman"/>
          <w:sz w:val="24"/>
          <w:szCs w:val="24"/>
          <w:highlight w:val="none"/>
        </w:rPr>
      </w:pPr>
      <w:r>
        <w:rPr>
          <w:rFonts w:hint="eastAsia" w:ascii="Times New Roman" w:hAnsi="Times New Roman" w:eastAsia="宋体" w:cs="Times New Roman"/>
          <w:sz w:val="24"/>
          <w:szCs w:val="24"/>
          <w:highlight w:val="none"/>
          <w:lang w:val="en-US" w:eastAsia="zh-CN"/>
        </w:rPr>
        <w:t>5、</w:t>
      </w:r>
      <w:r>
        <w:rPr>
          <w:rFonts w:ascii="Times New Roman" w:hAnsi="Times New Roman" w:eastAsia="宋体" w:cs="Times New Roman"/>
          <w:sz w:val="24"/>
          <w:szCs w:val="24"/>
          <w:highlight w:val="none"/>
        </w:rPr>
        <w:t>说明书及标签设计样稿。</w:t>
      </w:r>
    </w:p>
    <w:p>
      <w:pPr>
        <w:spacing w:line="360" w:lineRule="auto"/>
        <w:ind w:firstLine="480" w:firstLineChars="200"/>
        <w:rPr>
          <w:rFonts w:ascii="Times New Roman" w:hAnsi="Times New Roman" w:eastAsia="宋体" w:cs="Times New Roman"/>
          <w:sz w:val="24"/>
          <w:szCs w:val="24"/>
          <w:highlight w:val="none"/>
        </w:rPr>
      </w:pPr>
      <w:r>
        <w:rPr>
          <w:rFonts w:hint="eastAsia" w:ascii="Times New Roman" w:hAnsi="Times New Roman" w:eastAsia="宋体" w:cs="Times New Roman"/>
          <w:sz w:val="24"/>
          <w:szCs w:val="24"/>
          <w:highlight w:val="none"/>
          <w:lang w:val="en-US" w:eastAsia="zh-CN"/>
        </w:rPr>
        <w:t>6、</w:t>
      </w:r>
      <w:r>
        <w:rPr>
          <w:rFonts w:ascii="Times New Roman" w:hAnsi="Times New Roman" w:eastAsia="宋体" w:cs="Times New Roman"/>
          <w:sz w:val="24"/>
          <w:szCs w:val="24"/>
          <w:highlight w:val="none"/>
        </w:rPr>
        <w:t>处方组成、来源、理论依据及使用背景情况。</w:t>
      </w:r>
    </w:p>
    <w:p>
      <w:pPr>
        <w:spacing w:line="360" w:lineRule="auto"/>
        <w:ind w:firstLine="480" w:firstLineChars="200"/>
        <w:rPr>
          <w:rFonts w:ascii="Times New Roman" w:hAnsi="Times New Roman" w:eastAsia="宋体" w:cs="Times New Roman"/>
          <w:sz w:val="24"/>
          <w:szCs w:val="24"/>
          <w:highlight w:val="none"/>
        </w:rPr>
      </w:pPr>
      <w:r>
        <w:rPr>
          <w:rFonts w:hint="eastAsia" w:ascii="Times New Roman" w:hAnsi="Times New Roman" w:eastAsia="宋体" w:cs="Times New Roman"/>
          <w:sz w:val="24"/>
          <w:szCs w:val="24"/>
          <w:highlight w:val="none"/>
          <w:lang w:val="en-US" w:eastAsia="zh-CN"/>
        </w:rPr>
        <w:t>7、</w:t>
      </w:r>
      <w:r>
        <w:rPr>
          <w:rFonts w:ascii="Times New Roman" w:hAnsi="Times New Roman" w:eastAsia="宋体" w:cs="Times New Roman"/>
          <w:sz w:val="24"/>
          <w:szCs w:val="24"/>
          <w:highlight w:val="none"/>
        </w:rPr>
        <w:t>详细的配制工艺及工艺研究资料。包括工艺路线、所有工艺参数、设备、工艺</w:t>
      </w:r>
      <w:r>
        <w:rPr>
          <w:rFonts w:hint="eastAsia" w:ascii="Times New Roman" w:hAnsi="Times New Roman" w:eastAsia="宋体" w:cs="Times New Roman"/>
          <w:sz w:val="24"/>
          <w:szCs w:val="24"/>
          <w:highlight w:val="none"/>
        </w:rPr>
        <w:t>研究资料及文献资料</w:t>
      </w:r>
      <w:r>
        <w:rPr>
          <w:rFonts w:hint="eastAsia" w:ascii="Times New Roman" w:hAnsi="Times New Roman" w:eastAsia="宋体" w:cs="Times New Roman"/>
          <w:sz w:val="24"/>
          <w:szCs w:val="24"/>
          <w:highlight w:val="none"/>
          <w:lang w:eastAsia="zh-CN"/>
        </w:rPr>
        <w:t>等</w:t>
      </w:r>
      <w:r>
        <w:rPr>
          <w:rFonts w:hint="eastAsia" w:ascii="Times New Roman" w:hAnsi="Times New Roman" w:eastAsia="宋体" w:cs="Times New Roman"/>
          <w:sz w:val="24"/>
          <w:szCs w:val="24"/>
          <w:highlight w:val="none"/>
        </w:rPr>
        <w:t>。</w:t>
      </w:r>
    </w:p>
    <w:p>
      <w:pPr>
        <w:spacing w:line="360" w:lineRule="auto"/>
        <w:ind w:firstLine="480" w:firstLineChars="200"/>
        <w:rPr>
          <w:rFonts w:ascii="Times New Roman" w:hAnsi="Times New Roman" w:eastAsia="宋体" w:cs="Times New Roman"/>
          <w:sz w:val="24"/>
          <w:szCs w:val="24"/>
          <w:highlight w:val="none"/>
        </w:rPr>
      </w:pPr>
      <w:r>
        <w:rPr>
          <w:rFonts w:hint="eastAsia" w:ascii="Times New Roman" w:hAnsi="Times New Roman" w:eastAsia="宋体" w:cs="Times New Roman"/>
          <w:sz w:val="24"/>
          <w:szCs w:val="24"/>
          <w:highlight w:val="none"/>
          <w:lang w:val="en-US" w:eastAsia="zh-CN"/>
        </w:rPr>
        <w:t>8、</w:t>
      </w:r>
      <w:r>
        <w:rPr>
          <w:rFonts w:hint="eastAsia" w:ascii="Times New Roman" w:hAnsi="Times New Roman" w:eastAsia="宋体" w:cs="Times New Roman"/>
          <w:sz w:val="24"/>
          <w:szCs w:val="24"/>
          <w:highlight w:val="none"/>
        </w:rPr>
        <w:t>质量研究的试验资料及文献资料。</w:t>
      </w:r>
    </w:p>
    <w:p>
      <w:pPr>
        <w:spacing w:line="360" w:lineRule="auto"/>
        <w:ind w:firstLine="480" w:firstLineChars="200"/>
        <w:rPr>
          <w:rFonts w:ascii="Times New Roman" w:hAnsi="Times New Roman" w:eastAsia="宋体" w:cs="Times New Roman"/>
          <w:sz w:val="24"/>
          <w:szCs w:val="24"/>
          <w:highlight w:val="none"/>
        </w:rPr>
      </w:pPr>
      <w:r>
        <w:rPr>
          <w:rFonts w:hint="eastAsia" w:ascii="Times New Roman" w:hAnsi="Times New Roman" w:eastAsia="宋体" w:cs="Times New Roman"/>
          <w:sz w:val="24"/>
          <w:szCs w:val="24"/>
          <w:highlight w:val="none"/>
          <w:lang w:val="en-US" w:eastAsia="zh-CN"/>
        </w:rPr>
        <w:t>9</w:t>
      </w:r>
      <w:r>
        <w:rPr>
          <w:rFonts w:hint="eastAsia" w:ascii="Times New Roman" w:hAnsi="Times New Roman" w:eastAsia="宋体" w:cs="Times New Roman"/>
          <w:sz w:val="24"/>
          <w:szCs w:val="24"/>
          <w:highlight w:val="none"/>
          <w:lang w:eastAsia="zh-CN"/>
        </w:rPr>
        <w:t>、</w:t>
      </w:r>
      <w:r>
        <w:rPr>
          <w:rFonts w:ascii="Times New Roman" w:hAnsi="Times New Roman" w:eastAsia="宋体" w:cs="Times New Roman"/>
          <w:sz w:val="24"/>
          <w:szCs w:val="24"/>
          <w:highlight w:val="none"/>
        </w:rPr>
        <w:t>内控制剂标准及起草说明。</w:t>
      </w:r>
    </w:p>
    <w:p>
      <w:pPr>
        <w:spacing w:line="360" w:lineRule="auto"/>
        <w:ind w:firstLine="480" w:firstLineChars="200"/>
        <w:rPr>
          <w:rFonts w:ascii="Times New Roman" w:hAnsi="Times New Roman" w:eastAsia="宋体" w:cs="Times New Roman"/>
          <w:sz w:val="24"/>
          <w:szCs w:val="24"/>
          <w:highlight w:val="none"/>
        </w:rPr>
      </w:pPr>
      <w:r>
        <w:rPr>
          <w:rFonts w:ascii="Times New Roman" w:hAnsi="Times New Roman" w:eastAsia="宋体" w:cs="Times New Roman"/>
          <w:sz w:val="24"/>
          <w:szCs w:val="24"/>
          <w:highlight w:val="none"/>
        </w:rPr>
        <w:t>1</w:t>
      </w:r>
      <w:r>
        <w:rPr>
          <w:rFonts w:hint="eastAsia" w:ascii="Times New Roman" w:hAnsi="Times New Roman" w:eastAsia="宋体" w:cs="Times New Roman"/>
          <w:sz w:val="24"/>
          <w:szCs w:val="24"/>
          <w:highlight w:val="none"/>
          <w:lang w:val="en-US" w:eastAsia="zh-CN"/>
        </w:rPr>
        <w:t>0</w:t>
      </w:r>
      <w:r>
        <w:rPr>
          <w:rFonts w:hint="eastAsia" w:ascii="Times New Roman" w:hAnsi="Times New Roman" w:eastAsia="宋体" w:cs="Times New Roman"/>
          <w:sz w:val="24"/>
          <w:szCs w:val="24"/>
          <w:highlight w:val="none"/>
          <w:lang w:eastAsia="zh-CN"/>
        </w:rPr>
        <w:t>、</w:t>
      </w:r>
      <w:r>
        <w:rPr>
          <w:rFonts w:ascii="Times New Roman" w:hAnsi="Times New Roman" w:eastAsia="宋体" w:cs="Times New Roman"/>
          <w:sz w:val="24"/>
          <w:szCs w:val="24"/>
          <w:highlight w:val="none"/>
        </w:rPr>
        <w:t>制剂的稳定性试验资料。</w:t>
      </w:r>
    </w:p>
    <w:p>
      <w:pPr>
        <w:spacing w:line="360" w:lineRule="auto"/>
        <w:ind w:firstLine="480" w:firstLineChars="200"/>
        <w:rPr>
          <w:rFonts w:ascii="Times New Roman" w:hAnsi="Times New Roman" w:eastAsia="宋体" w:cs="Times New Roman"/>
          <w:sz w:val="24"/>
          <w:szCs w:val="24"/>
          <w:highlight w:val="none"/>
        </w:rPr>
      </w:pPr>
      <w:r>
        <w:rPr>
          <w:rFonts w:ascii="Times New Roman" w:hAnsi="Times New Roman" w:eastAsia="宋体" w:cs="Times New Roman"/>
          <w:sz w:val="24"/>
          <w:szCs w:val="24"/>
          <w:highlight w:val="none"/>
        </w:rPr>
        <w:t>1</w:t>
      </w:r>
      <w:r>
        <w:rPr>
          <w:rFonts w:hint="eastAsia" w:ascii="Times New Roman" w:hAnsi="Times New Roman" w:eastAsia="宋体" w:cs="Times New Roman"/>
          <w:sz w:val="24"/>
          <w:szCs w:val="24"/>
          <w:highlight w:val="none"/>
          <w:lang w:val="en-US" w:eastAsia="zh-CN"/>
        </w:rPr>
        <w:t>1、</w:t>
      </w:r>
      <w:r>
        <w:rPr>
          <w:rFonts w:ascii="Times New Roman" w:hAnsi="Times New Roman" w:eastAsia="宋体" w:cs="Times New Roman"/>
          <w:sz w:val="24"/>
          <w:szCs w:val="24"/>
          <w:highlight w:val="none"/>
        </w:rPr>
        <w:t>连续3 批样品的自检报告书。</w:t>
      </w:r>
    </w:p>
    <w:p>
      <w:pPr>
        <w:spacing w:line="360" w:lineRule="auto"/>
        <w:ind w:firstLine="480" w:firstLineChars="200"/>
        <w:rPr>
          <w:rFonts w:ascii="Times New Roman" w:hAnsi="Times New Roman" w:eastAsia="宋体" w:cs="Times New Roman"/>
          <w:sz w:val="24"/>
          <w:szCs w:val="24"/>
          <w:highlight w:val="none"/>
        </w:rPr>
      </w:pPr>
      <w:r>
        <w:rPr>
          <w:rFonts w:ascii="Times New Roman" w:hAnsi="Times New Roman" w:eastAsia="宋体" w:cs="Times New Roman"/>
          <w:sz w:val="24"/>
          <w:szCs w:val="24"/>
          <w:highlight w:val="none"/>
        </w:rPr>
        <w:t>1</w:t>
      </w:r>
      <w:r>
        <w:rPr>
          <w:rFonts w:hint="eastAsia" w:ascii="Times New Roman" w:hAnsi="Times New Roman" w:eastAsia="宋体" w:cs="Times New Roman"/>
          <w:sz w:val="24"/>
          <w:szCs w:val="24"/>
          <w:highlight w:val="none"/>
          <w:lang w:val="en-US" w:eastAsia="zh-CN"/>
        </w:rPr>
        <w:t>2</w:t>
      </w:r>
      <w:r>
        <w:rPr>
          <w:rFonts w:hint="eastAsia" w:ascii="Times New Roman" w:hAnsi="Times New Roman" w:eastAsia="宋体" w:cs="Times New Roman"/>
          <w:sz w:val="24"/>
          <w:szCs w:val="24"/>
          <w:highlight w:val="none"/>
          <w:lang w:eastAsia="zh-CN"/>
        </w:rPr>
        <w:t>、</w:t>
      </w:r>
      <w:r>
        <w:rPr>
          <w:rFonts w:ascii="Times New Roman" w:hAnsi="Times New Roman" w:eastAsia="宋体" w:cs="Times New Roman"/>
          <w:sz w:val="24"/>
          <w:szCs w:val="24"/>
          <w:highlight w:val="none"/>
        </w:rPr>
        <w:t>原、辅料的来源及质量标准，包括药材的基原及鉴定依据、前处理、炮制工艺、</w:t>
      </w:r>
      <w:r>
        <w:rPr>
          <w:rFonts w:hint="eastAsia" w:ascii="Times New Roman" w:hAnsi="Times New Roman" w:eastAsia="宋体" w:cs="Times New Roman"/>
          <w:sz w:val="24"/>
          <w:szCs w:val="24"/>
          <w:highlight w:val="none"/>
        </w:rPr>
        <w:t>有无毒性等。</w:t>
      </w:r>
    </w:p>
    <w:p>
      <w:pPr>
        <w:spacing w:line="360" w:lineRule="auto"/>
        <w:ind w:firstLine="480" w:firstLineChars="200"/>
        <w:rPr>
          <w:rFonts w:ascii="Times New Roman" w:hAnsi="Times New Roman" w:eastAsia="宋体" w:cs="Times New Roman"/>
          <w:sz w:val="24"/>
          <w:szCs w:val="24"/>
          <w:highlight w:val="none"/>
        </w:rPr>
      </w:pPr>
      <w:r>
        <w:rPr>
          <w:rFonts w:ascii="Times New Roman" w:hAnsi="Times New Roman" w:eastAsia="宋体" w:cs="Times New Roman"/>
          <w:sz w:val="24"/>
          <w:szCs w:val="24"/>
          <w:highlight w:val="none"/>
        </w:rPr>
        <w:t>1</w:t>
      </w:r>
      <w:r>
        <w:rPr>
          <w:rFonts w:hint="eastAsia" w:ascii="Times New Roman" w:hAnsi="Times New Roman" w:eastAsia="宋体" w:cs="Times New Roman"/>
          <w:sz w:val="24"/>
          <w:szCs w:val="24"/>
          <w:highlight w:val="none"/>
          <w:lang w:val="en-US" w:eastAsia="zh-CN"/>
        </w:rPr>
        <w:t>3、</w:t>
      </w:r>
      <w:r>
        <w:rPr>
          <w:rFonts w:ascii="Times New Roman" w:hAnsi="Times New Roman" w:eastAsia="宋体" w:cs="Times New Roman"/>
          <w:sz w:val="24"/>
          <w:szCs w:val="24"/>
          <w:highlight w:val="none"/>
        </w:rPr>
        <w:t>直接接触制剂的包装材料和容器的选择依据及质量标准。</w:t>
      </w:r>
    </w:p>
    <w:p>
      <w:pPr>
        <w:spacing w:line="360" w:lineRule="auto"/>
        <w:ind w:firstLine="480" w:firstLineChars="200"/>
        <w:rPr>
          <w:rFonts w:hint="eastAsia" w:ascii="Times New Roman" w:hAnsi="Times New Roman" w:eastAsia="宋体" w:cs="Times New Roman"/>
          <w:sz w:val="24"/>
          <w:szCs w:val="24"/>
          <w:highlight w:val="none"/>
          <w:lang w:val="en-US" w:eastAsia="zh-CN"/>
        </w:rPr>
      </w:pPr>
      <w:r>
        <w:rPr>
          <w:rFonts w:hint="eastAsia" w:ascii="Times New Roman" w:hAnsi="Times New Roman" w:eastAsia="宋体" w:cs="Times New Roman"/>
          <w:sz w:val="24"/>
          <w:szCs w:val="24"/>
          <w:highlight w:val="none"/>
          <w:lang w:val="en-US" w:eastAsia="zh-CN"/>
        </w:rPr>
        <w:t>14、药效学及毒理试验资料及文献资料：</w:t>
      </w:r>
      <w:r>
        <w:rPr>
          <w:rFonts w:hint="eastAsia" w:ascii="Times New Roman" w:hAnsi="Times New Roman" w:eastAsia="宋体" w:cs="Times New Roman"/>
          <w:sz w:val="24"/>
          <w:szCs w:val="24"/>
          <w:highlight w:val="none"/>
          <w:lang w:val="en-US" w:eastAsia="zh-CN"/>
        </w:rPr>
        <w:t>完成过敏试验及其资料撰写，</w:t>
      </w:r>
      <w:r>
        <w:rPr>
          <w:rFonts w:hint="eastAsia" w:ascii="Times New Roman" w:hAnsi="Times New Roman" w:eastAsia="宋体" w:cs="Times New Roman"/>
          <w:sz w:val="24"/>
          <w:szCs w:val="24"/>
          <w:highlight w:val="none"/>
          <w:lang w:eastAsia="zh-CN"/>
        </w:rPr>
        <w:t>及主管局审批</w:t>
      </w:r>
      <w:r>
        <w:rPr>
          <w:rFonts w:hint="eastAsia" w:ascii="Times New Roman" w:hAnsi="Times New Roman" w:eastAsia="宋体" w:cs="Times New Roman"/>
          <w:sz w:val="24"/>
          <w:szCs w:val="24"/>
          <w:highlight w:val="none"/>
        </w:rPr>
        <w:t>要求</w:t>
      </w:r>
      <w:r>
        <w:rPr>
          <w:rFonts w:hint="eastAsia" w:ascii="Times New Roman" w:hAnsi="Times New Roman" w:eastAsia="宋体" w:cs="Times New Roman"/>
          <w:sz w:val="24"/>
          <w:szCs w:val="24"/>
          <w:highlight w:val="none"/>
          <w:lang w:eastAsia="zh-CN"/>
        </w:rPr>
        <w:t>补充其他相关试验资料</w:t>
      </w:r>
      <w:r>
        <w:rPr>
          <w:rFonts w:hint="eastAsia" w:ascii="Times New Roman" w:hAnsi="Times New Roman" w:eastAsia="宋体" w:cs="Times New Roman"/>
          <w:sz w:val="24"/>
          <w:szCs w:val="24"/>
          <w:highlight w:val="none"/>
          <w:lang w:val="en-US" w:eastAsia="zh-CN"/>
        </w:rPr>
        <w:t>。</w:t>
      </w:r>
    </w:p>
    <w:p>
      <w:pPr>
        <w:spacing w:line="360" w:lineRule="auto"/>
        <w:ind w:firstLine="480" w:firstLineChars="200"/>
        <w:rPr>
          <w:rFonts w:ascii="Times New Roman" w:hAnsi="Times New Roman" w:eastAsia="宋体" w:cs="Times New Roman"/>
          <w:sz w:val="24"/>
          <w:szCs w:val="24"/>
          <w:highlight w:val="none"/>
        </w:rPr>
      </w:pPr>
      <w:r>
        <w:rPr>
          <w:rFonts w:hint="eastAsia" w:ascii="Times New Roman" w:hAnsi="Times New Roman" w:eastAsia="宋体" w:cs="Times New Roman"/>
          <w:sz w:val="24"/>
          <w:szCs w:val="24"/>
          <w:highlight w:val="none"/>
          <w:lang w:val="en-US" w:eastAsia="zh-CN"/>
        </w:rPr>
        <w:t>15、</w:t>
      </w:r>
      <w:r>
        <w:rPr>
          <w:rFonts w:ascii="Times New Roman" w:hAnsi="Times New Roman" w:eastAsia="宋体" w:cs="Times New Roman"/>
          <w:sz w:val="24"/>
          <w:szCs w:val="24"/>
          <w:highlight w:val="none"/>
        </w:rPr>
        <w:t>直接接触制剂的包装材料和容器的注册证书复印件或核准编号。</w:t>
      </w:r>
    </w:p>
    <w:p>
      <w:pPr>
        <w:spacing w:line="360" w:lineRule="auto"/>
        <w:ind w:firstLine="480" w:firstLineChars="200"/>
        <w:rPr>
          <w:rFonts w:hint="default"/>
          <w:highlight w:val="none"/>
          <w:lang w:val="en-US" w:eastAsia="zh-CN"/>
        </w:rPr>
      </w:pPr>
      <w:r>
        <w:rPr>
          <w:rFonts w:hint="eastAsia" w:ascii="Times New Roman" w:hAnsi="Times New Roman" w:eastAsia="宋体" w:cs="Times New Roman"/>
          <w:sz w:val="24"/>
          <w:szCs w:val="24"/>
          <w:highlight w:val="none"/>
          <w:lang w:val="en-US" w:eastAsia="zh-CN"/>
        </w:rPr>
        <w:t>16、</w:t>
      </w:r>
      <w:r>
        <w:rPr>
          <w:rFonts w:ascii="Times New Roman" w:hAnsi="Times New Roman" w:eastAsia="宋体" w:cs="Times New Roman"/>
          <w:sz w:val="24"/>
          <w:szCs w:val="24"/>
          <w:highlight w:val="none"/>
        </w:rPr>
        <w:t>委托备案的中药制剂双方签订的委托备案研发合同复印件；</w:t>
      </w:r>
    </w:p>
    <w:p>
      <w:pPr>
        <w:spacing w:line="360" w:lineRule="auto"/>
        <w:ind w:firstLine="480" w:firstLineChars="200"/>
        <w:rPr>
          <w:rFonts w:ascii="Times New Roman" w:hAnsi="Times New Roman" w:eastAsia="宋体" w:cs="Times New Roman"/>
          <w:sz w:val="24"/>
          <w:szCs w:val="24"/>
          <w:highlight w:val="none"/>
        </w:rPr>
      </w:pPr>
      <w:r>
        <w:rPr>
          <w:rFonts w:hint="eastAsia" w:ascii="Times New Roman" w:hAnsi="Times New Roman" w:eastAsia="宋体" w:cs="Times New Roman"/>
          <w:sz w:val="24"/>
          <w:szCs w:val="24"/>
          <w:highlight w:val="none"/>
        </w:rPr>
        <w:t>具体项目按照《四川省医疗机构应用传统工艺配制中药制剂备案管理实施细则》</w:t>
      </w:r>
      <w:r>
        <w:rPr>
          <w:rFonts w:hint="eastAsia" w:ascii="Times New Roman" w:hAnsi="Times New Roman" w:eastAsia="宋体" w:cs="Times New Roman"/>
          <w:sz w:val="24"/>
          <w:szCs w:val="24"/>
          <w:highlight w:val="none"/>
          <w:lang w:eastAsia="zh-CN"/>
        </w:rPr>
        <w:t>及省主管局审批</w:t>
      </w:r>
      <w:r>
        <w:rPr>
          <w:rFonts w:hint="eastAsia" w:ascii="Times New Roman" w:hAnsi="Times New Roman" w:eastAsia="宋体" w:cs="Times New Roman"/>
          <w:sz w:val="24"/>
          <w:szCs w:val="24"/>
          <w:highlight w:val="none"/>
        </w:rPr>
        <w:t>要求执行</w:t>
      </w:r>
      <w:r>
        <w:rPr>
          <w:rFonts w:hint="eastAsia" w:ascii="Times New Roman" w:hAnsi="Times New Roman" w:eastAsia="宋体" w:cs="Times New Roman"/>
          <w:sz w:val="24"/>
          <w:szCs w:val="24"/>
          <w:highlight w:val="none"/>
        </w:rPr>
        <w:t>。</w:t>
      </w:r>
    </w:p>
    <w:p>
      <w:pPr>
        <w:spacing w:line="360" w:lineRule="auto"/>
        <w:rPr>
          <w:rFonts w:hint="eastAsia" w:ascii="Times New Roman" w:hAnsi="Times New Roman" w:eastAsia="宋体" w:cs="Times New Roman"/>
          <w:b/>
          <w:bCs/>
          <w:sz w:val="24"/>
          <w:szCs w:val="24"/>
          <w:highlight w:val="none"/>
          <w:lang w:eastAsia="zh-CN"/>
        </w:rPr>
      </w:pPr>
      <w:r>
        <w:rPr>
          <w:rFonts w:ascii="Times New Roman" w:hAnsi="Times New Roman" w:eastAsia="宋体" w:cs="Times New Roman"/>
          <w:b/>
          <w:bCs/>
          <w:sz w:val="24"/>
          <w:szCs w:val="24"/>
          <w:highlight w:val="none"/>
        </w:rPr>
        <w:t xml:space="preserve">2.3 </w:t>
      </w:r>
      <w:r>
        <w:rPr>
          <w:rFonts w:hint="eastAsia" w:ascii="Times New Roman" w:hAnsi="Times New Roman" w:eastAsia="宋体" w:cs="Times New Roman"/>
          <w:b/>
          <w:bCs/>
          <w:sz w:val="24"/>
          <w:szCs w:val="24"/>
          <w:highlight w:val="none"/>
        </w:rPr>
        <w:t>服务</w:t>
      </w:r>
      <w:r>
        <w:rPr>
          <w:rFonts w:hint="eastAsia" w:ascii="Times New Roman" w:hAnsi="Times New Roman" w:eastAsia="宋体" w:cs="Times New Roman"/>
          <w:b/>
          <w:bCs/>
          <w:sz w:val="24"/>
          <w:szCs w:val="24"/>
          <w:highlight w:val="none"/>
          <w:lang w:eastAsia="zh-CN"/>
        </w:rPr>
        <w:t>提交成果及</w:t>
      </w:r>
      <w:r>
        <w:rPr>
          <w:rFonts w:hint="eastAsia" w:ascii="Times New Roman" w:hAnsi="Times New Roman" w:eastAsia="宋体" w:cs="Times New Roman"/>
          <w:b/>
          <w:bCs/>
          <w:sz w:val="24"/>
          <w:szCs w:val="24"/>
          <w:highlight w:val="none"/>
          <w:lang w:eastAsia="zh-CN"/>
        </w:rPr>
        <w:t>知识产权归属</w:t>
      </w:r>
    </w:p>
    <w:p>
      <w:pPr>
        <w:spacing w:line="360" w:lineRule="auto"/>
        <w:ind w:firstLine="420" w:firstLineChars="200"/>
        <w:rPr>
          <w:rFonts w:hint="eastAsia" w:ascii="Times New Roman" w:hAnsi="Times New Roman" w:eastAsia="宋体" w:cs="Times New Roman"/>
          <w:sz w:val="24"/>
          <w:szCs w:val="24"/>
          <w:highlight w:val="none"/>
        </w:rPr>
      </w:pPr>
      <w:r>
        <w:rPr>
          <w:highlight w:val="none"/>
        </w:rPr>
        <w:t>★</w:t>
      </w:r>
      <w:r>
        <w:rPr>
          <w:rFonts w:hint="eastAsia" w:ascii="Times New Roman" w:hAnsi="Times New Roman" w:eastAsia="宋体" w:cs="Times New Roman"/>
          <w:sz w:val="24"/>
          <w:szCs w:val="24"/>
          <w:highlight w:val="none"/>
          <w:lang w:val="en-US" w:eastAsia="zh-CN"/>
        </w:rPr>
        <w:t>1、</w:t>
      </w:r>
      <w:r>
        <w:rPr>
          <w:rFonts w:hint="eastAsia" w:ascii="Times New Roman" w:hAnsi="Times New Roman" w:eastAsia="宋体" w:cs="Times New Roman"/>
          <w:sz w:val="24"/>
          <w:szCs w:val="24"/>
          <w:highlight w:val="none"/>
        </w:rPr>
        <w:t>按照《四川省医疗机构应用传统工艺配制中药制剂备案管理实施细则》要求，完成相应研究内容和申报资料撰写后，需向采购人提交符合要求的书面及电子版研究报告及其他技术资料，所有的研究成果归富顺县中医医院所有；</w:t>
      </w:r>
    </w:p>
    <w:p>
      <w:pPr>
        <w:spacing w:line="360" w:lineRule="auto"/>
        <w:ind w:firstLine="420" w:firstLineChars="200"/>
        <w:rPr>
          <w:rFonts w:ascii="Times New Roman" w:hAnsi="Times New Roman" w:eastAsia="宋体" w:cs="Times New Roman"/>
          <w:sz w:val="24"/>
          <w:szCs w:val="24"/>
          <w:highlight w:val="none"/>
        </w:rPr>
      </w:pPr>
      <w:r>
        <w:rPr>
          <w:highlight w:val="none"/>
        </w:rPr>
        <w:t>★</w:t>
      </w:r>
      <w:r>
        <w:rPr>
          <w:rFonts w:hint="eastAsia" w:ascii="Times New Roman" w:hAnsi="Times New Roman" w:eastAsia="宋体" w:cs="Times New Roman"/>
          <w:sz w:val="24"/>
          <w:szCs w:val="24"/>
          <w:highlight w:val="none"/>
          <w:lang w:val="en-US" w:eastAsia="zh-CN"/>
        </w:rPr>
        <w:t>2、</w:t>
      </w:r>
      <w:r>
        <w:rPr>
          <w:rFonts w:hint="eastAsia" w:ascii="Times New Roman" w:hAnsi="Times New Roman" w:eastAsia="宋体" w:cs="Times New Roman"/>
          <w:sz w:val="24"/>
          <w:szCs w:val="24"/>
          <w:highlight w:val="none"/>
        </w:rPr>
        <w:t>完成的所有申报资料需上传至四川省药品监督管理局平台并通过备案。</w:t>
      </w:r>
    </w:p>
    <w:p>
      <w:pPr>
        <w:widowControl/>
        <w:jc w:val="left"/>
        <w:rPr>
          <w:rFonts w:ascii="Times New Roman" w:hAnsi="Times New Roman" w:eastAsia="宋体" w:cs="Times New Roman"/>
          <w:b/>
          <w:bCs/>
          <w:sz w:val="24"/>
          <w:szCs w:val="24"/>
          <w:highlight w:val="none"/>
        </w:rPr>
      </w:pPr>
      <w:r>
        <w:rPr>
          <w:rFonts w:ascii="Times New Roman" w:hAnsi="Times New Roman" w:eastAsia="宋体" w:cs="Times New Roman"/>
          <w:b/>
          <w:bCs/>
          <w:sz w:val="24"/>
          <w:szCs w:val="24"/>
          <w:highlight w:val="none"/>
        </w:rPr>
        <w:t xml:space="preserve">2.4 </w:t>
      </w:r>
      <w:r>
        <w:rPr>
          <w:rFonts w:hint="eastAsia" w:ascii="Times New Roman" w:hAnsi="Times New Roman" w:eastAsia="宋体" w:cs="Times New Roman"/>
          <w:b/>
          <w:bCs/>
          <w:sz w:val="24"/>
          <w:szCs w:val="24"/>
          <w:highlight w:val="none"/>
        </w:rPr>
        <w:t>其他要求</w:t>
      </w:r>
    </w:p>
    <w:p>
      <w:pPr>
        <w:widowControl/>
        <w:spacing w:line="360" w:lineRule="auto"/>
        <w:ind w:firstLine="420" w:firstLineChars="200"/>
        <w:jc w:val="left"/>
        <w:rPr>
          <w:rFonts w:hint="eastAsia" w:ascii="Times New Roman" w:hAnsi="Times New Roman" w:eastAsia="宋体" w:cs="Times New Roman"/>
          <w:sz w:val="24"/>
          <w:szCs w:val="24"/>
          <w:highlight w:val="none"/>
          <w:lang w:eastAsia="zh-CN"/>
        </w:rPr>
      </w:pPr>
      <w:r>
        <w:rPr>
          <w:highlight w:val="none"/>
        </w:rPr>
        <w:t>★</w:t>
      </w:r>
      <w:r>
        <w:rPr>
          <w:rFonts w:ascii="Times New Roman" w:hAnsi="Times New Roman" w:eastAsia="宋体" w:cs="Times New Roman"/>
          <w:sz w:val="24"/>
          <w:szCs w:val="24"/>
          <w:highlight w:val="none"/>
        </w:rPr>
        <w:t>1</w:t>
      </w:r>
      <w:r>
        <w:rPr>
          <w:rFonts w:hint="eastAsia" w:ascii="Times New Roman" w:hAnsi="Times New Roman" w:eastAsia="宋体" w:cs="Times New Roman"/>
          <w:sz w:val="24"/>
          <w:szCs w:val="24"/>
          <w:highlight w:val="none"/>
          <w:lang w:eastAsia="zh-CN"/>
        </w:rPr>
        <w:t>、</w:t>
      </w:r>
      <w:r>
        <w:rPr>
          <w:rFonts w:ascii="Times New Roman" w:hAnsi="Times New Roman" w:eastAsia="宋体" w:cs="Times New Roman"/>
          <w:sz w:val="24"/>
          <w:szCs w:val="24"/>
          <w:highlight w:val="none"/>
        </w:rPr>
        <w:t>供应商须具备可进行中药制剂工艺及质量体系研究的专用的药学实验室</w:t>
      </w:r>
      <w:r>
        <w:rPr>
          <w:rFonts w:hint="eastAsia" w:ascii="Times New Roman" w:hAnsi="Times New Roman" w:eastAsia="宋体" w:cs="Times New Roman"/>
          <w:sz w:val="24"/>
          <w:szCs w:val="24"/>
          <w:highlight w:val="none"/>
          <w:lang w:eastAsia="zh-CN"/>
        </w:rPr>
        <w:t>（</w:t>
      </w:r>
      <w:r>
        <w:rPr>
          <w:rFonts w:hint="eastAsia" w:ascii="Times New Roman" w:hAnsi="Times New Roman" w:eastAsia="宋体" w:cs="Times New Roman"/>
          <w:sz w:val="24"/>
          <w:szCs w:val="24"/>
          <w:highlight w:val="none"/>
          <w:lang w:eastAsia="zh-CN"/>
        </w:rPr>
        <w:t>承诺函</w:t>
      </w:r>
      <w:r>
        <w:rPr>
          <w:rFonts w:hint="eastAsia" w:ascii="Times New Roman" w:hAnsi="Times New Roman" w:eastAsia="宋体" w:cs="Times New Roman"/>
          <w:sz w:val="24"/>
          <w:szCs w:val="24"/>
          <w:highlight w:val="none"/>
          <w:lang w:eastAsia="zh-CN"/>
        </w:rPr>
        <w:t>）</w:t>
      </w:r>
      <w:r>
        <w:rPr>
          <w:rFonts w:ascii="Times New Roman" w:hAnsi="Times New Roman" w:eastAsia="宋体" w:cs="Times New Roman"/>
          <w:sz w:val="24"/>
          <w:szCs w:val="24"/>
          <w:highlight w:val="none"/>
        </w:rPr>
        <w:t>，并有</w:t>
      </w:r>
      <w:r>
        <w:rPr>
          <w:rFonts w:hint="eastAsia" w:ascii="Times New Roman" w:hAnsi="Times New Roman" w:eastAsia="宋体" w:cs="Times New Roman"/>
          <w:sz w:val="24"/>
          <w:szCs w:val="24"/>
          <w:highlight w:val="none"/>
        </w:rPr>
        <w:t>可满足中药制剂的小试及中试生产的条件</w:t>
      </w:r>
      <w:r>
        <w:rPr>
          <w:rFonts w:hint="eastAsia" w:ascii="Times New Roman" w:hAnsi="Times New Roman" w:eastAsia="宋体" w:cs="Times New Roman"/>
          <w:sz w:val="24"/>
          <w:szCs w:val="24"/>
          <w:highlight w:val="none"/>
          <w:lang w:eastAsia="zh-CN"/>
        </w:rPr>
        <w:t>（提供相关设备清单、房屋设备照片及承诺函</w:t>
      </w:r>
      <w:r>
        <w:rPr>
          <w:rFonts w:hint="eastAsia" w:ascii="Times New Roman" w:hAnsi="Times New Roman" w:eastAsia="宋体" w:cs="Times New Roman"/>
          <w:sz w:val="24"/>
          <w:szCs w:val="24"/>
          <w:highlight w:val="none"/>
          <w:lang w:eastAsia="zh-CN"/>
        </w:rPr>
        <w:t>）</w:t>
      </w:r>
      <w:r>
        <w:rPr>
          <w:rFonts w:hint="eastAsia" w:ascii="Times New Roman" w:hAnsi="Times New Roman" w:eastAsia="宋体" w:cs="Times New Roman"/>
          <w:sz w:val="24"/>
          <w:szCs w:val="24"/>
          <w:highlight w:val="none"/>
        </w:rPr>
        <w:t>。</w:t>
      </w:r>
    </w:p>
    <w:p>
      <w:pPr>
        <w:widowControl/>
        <w:spacing w:line="360" w:lineRule="auto"/>
        <w:ind w:firstLine="480" w:firstLineChars="200"/>
        <w:jc w:val="left"/>
        <w:rPr>
          <w:rFonts w:hint="eastAsia" w:ascii="Times New Roman" w:hAnsi="Times New Roman" w:eastAsia="宋体" w:cs="Times New Roman"/>
          <w:sz w:val="24"/>
          <w:szCs w:val="24"/>
          <w:highlight w:val="none"/>
          <w:lang w:eastAsia="zh-CN"/>
        </w:rPr>
      </w:pPr>
      <w:r>
        <w:rPr>
          <w:rFonts w:ascii="Times New Roman" w:hAnsi="Times New Roman" w:eastAsia="宋体" w:cs="Times New Roman"/>
          <w:sz w:val="24"/>
          <w:szCs w:val="24"/>
          <w:highlight w:val="none"/>
        </w:rPr>
        <w:t>2</w:t>
      </w:r>
      <w:r>
        <w:rPr>
          <w:rFonts w:hint="eastAsia" w:ascii="Times New Roman" w:hAnsi="Times New Roman" w:eastAsia="宋体" w:cs="Times New Roman"/>
          <w:sz w:val="24"/>
          <w:szCs w:val="24"/>
          <w:highlight w:val="none"/>
          <w:lang w:eastAsia="zh-CN"/>
        </w:rPr>
        <w:t>、</w:t>
      </w:r>
      <w:r>
        <w:rPr>
          <w:rFonts w:ascii="Times New Roman" w:hAnsi="Times New Roman" w:eastAsia="宋体" w:cs="Times New Roman"/>
          <w:sz w:val="24"/>
          <w:szCs w:val="24"/>
          <w:highlight w:val="none"/>
        </w:rPr>
        <w:t>供应商须根据制剂要求，提供研发备案方案</w:t>
      </w:r>
      <w:r>
        <w:rPr>
          <w:rFonts w:hint="eastAsia" w:ascii="Times New Roman" w:hAnsi="Times New Roman" w:eastAsia="宋体" w:cs="Times New Roman"/>
          <w:sz w:val="24"/>
          <w:szCs w:val="24"/>
          <w:highlight w:val="none"/>
          <w:lang w:eastAsia="zh-CN"/>
        </w:rPr>
        <w:t>，包含但不限于提供本次制剂研发计划时间表及采购人在计划中需参与配合的内容、每个时间阶段预期取得的成果。</w:t>
      </w:r>
    </w:p>
    <w:p>
      <w:pPr>
        <w:widowControl/>
        <w:spacing w:line="360" w:lineRule="auto"/>
        <w:ind w:firstLine="480" w:firstLineChars="200"/>
        <w:jc w:val="left"/>
        <w:rPr>
          <w:rFonts w:ascii="Times New Roman" w:hAnsi="Times New Roman" w:eastAsia="宋体" w:cs="Times New Roman"/>
          <w:sz w:val="24"/>
          <w:szCs w:val="24"/>
          <w:highlight w:val="none"/>
        </w:rPr>
      </w:pPr>
      <w:r>
        <w:rPr>
          <w:rFonts w:hint="eastAsia" w:ascii="Times New Roman" w:hAnsi="Times New Roman" w:eastAsia="宋体" w:cs="Times New Roman"/>
          <w:sz w:val="24"/>
          <w:szCs w:val="24"/>
          <w:highlight w:val="none"/>
          <w:lang w:val="en-US" w:eastAsia="zh-CN"/>
        </w:rPr>
        <w:t>3、</w:t>
      </w:r>
      <w:r>
        <w:rPr>
          <w:rFonts w:ascii="Times New Roman" w:hAnsi="Times New Roman" w:eastAsia="宋体" w:cs="Times New Roman"/>
          <w:sz w:val="24"/>
          <w:szCs w:val="24"/>
          <w:highlight w:val="none"/>
        </w:rPr>
        <w:t>提供研发能力证明</w:t>
      </w:r>
      <w:r>
        <w:rPr>
          <w:rFonts w:hint="eastAsia" w:ascii="Times New Roman" w:hAnsi="Times New Roman" w:eastAsia="宋体" w:cs="Times New Roman"/>
          <w:sz w:val="24"/>
          <w:szCs w:val="24"/>
          <w:highlight w:val="none"/>
          <w:lang w:eastAsia="zh-CN"/>
        </w:rPr>
        <w:t>资料</w:t>
      </w:r>
      <w:r>
        <w:rPr>
          <w:rFonts w:ascii="Times New Roman" w:hAnsi="Times New Roman" w:eastAsia="宋体" w:cs="Times New Roman"/>
          <w:sz w:val="24"/>
          <w:szCs w:val="24"/>
          <w:highlight w:val="none"/>
        </w:rPr>
        <w:t>，</w:t>
      </w:r>
      <w:r>
        <w:rPr>
          <w:rFonts w:hint="eastAsia" w:ascii="Times New Roman" w:hAnsi="Times New Roman" w:eastAsia="宋体" w:cs="Times New Roman"/>
          <w:sz w:val="24"/>
          <w:szCs w:val="24"/>
          <w:highlight w:val="none"/>
          <w:lang w:eastAsia="zh-CN"/>
        </w:rPr>
        <w:t>包含但不限于</w:t>
      </w:r>
      <w:r>
        <w:rPr>
          <w:rFonts w:ascii="Times New Roman" w:hAnsi="Times New Roman" w:eastAsia="宋体" w:cs="Times New Roman"/>
          <w:sz w:val="24"/>
          <w:szCs w:val="24"/>
          <w:highlight w:val="none"/>
        </w:rPr>
        <w:t>相</w:t>
      </w:r>
      <w:r>
        <w:rPr>
          <w:rFonts w:hint="eastAsia" w:ascii="Times New Roman" w:hAnsi="Times New Roman" w:eastAsia="宋体" w:cs="Times New Roman"/>
          <w:sz w:val="24"/>
          <w:szCs w:val="24"/>
          <w:highlight w:val="none"/>
        </w:rPr>
        <w:t>关设备清单与实验室照片。</w:t>
      </w:r>
    </w:p>
    <w:p>
      <w:pPr>
        <w:widowControl/>
        <w:spacing w:line="360" w:lineRule="auto"/>
        <w:ind w:firstLine="480" w:firstLineChars="200"/>
        <w:jc w:val="left"/>
        <w:rPr>
          <w:rFonts w:ascii="Times New Roman" w:hAnsi="Times New Roman" w:eastAsia="宋体" w:cs="Times New Roman"/>
          <w:sz w:val="24"/>
          <w:szCs w:val="24"/>
          <w:highlight w:val="none"/>
        </w:rPr>
      </w:pPr>
      <w:r>
        <w:rPr>
          <w:rFonts w:hint="eastAsia" w:ascii="Times New Roman" w:hAnsi="Times New Roman" w:eastAsia="宋体" w:cs="Times New Roman"/>
          <w:sz w:val="24"/>
          <w:szCs w:val="24"/>
          <w:highlight w:val="none"/>
          <w:lang w:val="en-US" w:eastAsia="zh-CN"/>
        </w:rPr>
        <w:t>4、</w:t>
      </w:r>
      <w:r>
        <w:rPr>
          <w:rFonts w:ascii="Times New Roman" w:hAnsi="Times New Roman" w:eastAsia="宋体" w:cs="Times New Roman"/>
          <w:sz w:val="24"/>
          <w:szCs w:val="24"/>
          <w:highlight w:val="none"/>
        </w:rPr>
        <w:t>供应商须提供主要研发人员专业技术资格证明书。必备的研发人员的专业技术</w:t>
      </w:r>
      <w:r>
        <w:rPr>
          <w:rFonts w:hint="eastAsia" w:ascii="Times New Roman" w:hAnsi="Times New Roman" w:eastAsia="宋体" w:cs="Times New Roman"/>
          <w:sz w:val="24"/>
          <w:szCs w:val="24"/>
          <w:highlight w:val="none"/>
        </w:rPr>
        <w:t>要求如下：</w:t>
      </w:r>
    </w:p>
    <w:tbl>
      <w:tblPr>
        <w:tblStyle w:val="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5"/>
        <w:gridCol w:w="2765"/>
        <w:gridCol w:w="276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65" w:type="dxa"/>
          </w:tcPr>
          <w:p>
            <w:pPr>
              <w:widowControl/>
              <w:spacing w:line="360" w:lineRule="auto"/>
              <w:jc w:val="center"/>
              <w:rPr>
                <w:rFonts w:ascii="Times New Roman" w:hAnsi="Times New Roman" w:eastAsia="宋体" w:cs="Times New Roman"/>
                <w:sz w:val="24"/>
                <w:szCs w:val="24"/>
                <w:highlight w:val="none"/>
              </w:rPr>
            </w:pPr>
            <w:r>
              <w:rPr>
                <w:rFonts w:hint="eastAsia" w:ascii="Times New Roman" w:hAnsi="Times New Roman" w:eastAsia="宋体" w:cs="Times New Roman"/>
                <w:sz w:val="24"/>
                <w:szCs w:val="24"/>
                <w:highlight w:val="none"/>
              </w:rPr>
              <w:t>人员</w:t>
            </w:r>
          </w:p>
        </w:tc>
        <w:tc>
          <w:tcPr>
            <w:tcW w:w="2765" w:type="dxa"/>
          </w:tcPr>
          <w:p>
            <w:pPr>
              <w:widowControl/>
              <w:spacing w:line="360" w:lineRule="auto"/>
              <w:jc w:val="center"/>
              <w:rPr>
                <w:rFonts w:ascii="Times New Roman" w:hAnsi="Times New Roman" w:eastAsia="宋体" w:cs="Times New Roman"/>
                <w:sz w:val="24"/>
                <w:szCs w:val="24"/>
                <w:highlight w:val="none"/>
              </w:rPr>
            </w:pPr>
            <w:r>
              <w:rPr>
                <w:rFonts w:hint="eastAsia" w:ascii="Times New Roman" w:hAnsi="Times New Roman" w:eastAsia="宋体" w:cs="Times New Roman"/>
                <w:sz w:val="24"/>
                <w:szCs w:val="24"/>
                <w:highlight w:val="none"/>
              </w:rPr>
              <w:t>专业要求</w:t>
            </w:r>
          </w:p>
        </w:tc>
        <w:tc>
          <w:tcPr>
            <w:tcW w:w="2766" w:type="dxa"/>
          </w:tcPr>
          <w:p>
            <w:pPr>
              <w:widowControl/>
              <w:spacing w:line="360" w:lineRule="auto"/>
              <w:jc w:val="center"/>
              <w:rPr>
                <w:rFonts w:ascii="Times New Roman" w:hAnsi="Times New Roman" w:eastAsia="宋体" w:cs="Times New Roman"/>
                <w:sz w:val="24"/>
                <w:szCs w:val="24"/>
                <w:highlight w:val="none"/>
              </w:rPr>
            </w:pPr>
            <w:r>
              <w:rPr>
                <w:rFonts w:hint="eastAsia" w:ascii="Times New Roman" w:hAnsi="Times New Roman" w:eastAsia="宋体" w:cs="Times New Roman"/>
                <w:sz w:val="24"/>
                <w:szCs w:val="24"/>
                <w:highlight w:val="none"/>
              </w:rPr>
              <w:t>职称要求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65" w:type="dxa"/>
          </w:tcPr>
          <w:p>
            <w:pPr>
              <w:widowControl/>
              <w:spacing w:line="360" w:lineRule="auto"/>
              <w:jc w:val="center"/>
              <w:rPr>
                <w:rFonts w:ascii="Times New Roman" w:hAnsi="Times New Roman" w:eastAsia="宋体" w:cs="Times New Roman"/>
                <w:sz w:val="24"/>
                <w:szCs w:val="24"/>
                <w:highlight w:val="none"/>
              </w:rPr>
            </w:pPr>
            <w:r>
              <w:rPr>
                <w:rFonts w:hint="eastAsia" w:ascii="Times New Roman" w:hAnsi="Times New Roman" w:eastAsia="宋体" w:cs="Times New Roman"/>
                <w:sz w:val="24"/>
                <w:szCs w:val="24"/>
                <w:highlight w:val="none"/>
              </w:rPr>
              <w:t>技术负责人</w:t>
            </w:r>
          </w:p>
        </w:tc>
        <w:tc>
          <w:tcPr>
            <w:tcW w:w="2765" w:type="dxa"/>
          </w:tcPr>
          <w:p>
            <w:pPr>
              <w:widowControl/>
              <w:spacing w:line="360" w:lineRule="auto"/>
              <w:jc w:val="center"/>
              <w:rPr>
                <w:rFonts w:ascii="Times New Roman" w:hAnsi="Times New Roman" w:eastAsia="宋体" w:cs="Times New Roman"/>
                <w:sz w:val="24"/>
                <w:szCs w:val="24"/>
                <w:highlight w:val="none"/>
              </w:rPr>
            </w:pPr>
            <w:r>
              <w:rPr>
                <w:rFonts w:hint="eastAsia" w:ascii="Times New Roman" w:hAnsi="Times New Roman" w:eastAsia="宋体" w:cs="Times New Roman"/>
                <w:sz w:val="24"/>
                <w:szCs w:val="24"/>
                <w:highlight w:val="none"/>
              </w:rPr>
              <w:t>中药学相关专业</w:t>
            </w:r>
          </w:p>
        </w:tc>
        <w:tc>
          <w:tcPr>
            <w:tcW w:w="2766" w:type="dxa"/>
          </w:tcPr>
          <w:p>
            <w:pPr>
              <w:widowControl/>
              <w:spacing w:line="360" w:lineRule="auto"/>
              <w:jc w:val="center"/>
              <w:rPr>
                <w:rFonts w:hint="eastAsia" w:ascii="Times New Roman" w:hAnsi="Times New Roman" w:eastAsia="宋体" w:cs="Times New Roman"/>
                <w:sz w:val="24"/>
                <w:szCs w:val="24"/>
                <w:highlight w:val="none"/>
                <w:lang w:eastAsia="zh-CN"/>
              </w:rPr>
            </w:pPr>
            <w:r>
              <w:rPr>
                <w:rFonts w:hint="eastAsia" w:ascii="Times New Roman" w:hAnsi="Times New Roman" w:eastAsia="宋体" w:cs="Times New Roman"/>
                <w:sz w:val="24"/>
                <w:szCs w:val="24"/>
                <w:highlight w:val="none"/>
              </w:rPr>
              <w:t>副研究员</w:t>
            </w:r>
            <w:r>
              <w:rPr>
                <w:rFonts w:hint="eastAsia" w:ascii="Times New Roman" w:hAnsi="Times New Roman" w:eastAsia="宋体" w:cs="Times New Roman"/>
                <w:sz w:val="24"/>
                <w:szCs w:val="24"/>
                <w:highlight w:val="none"/>
                <w:lang w:eastAsia="zh-CN"/>
              </w:rPr>
              <w:t>或副主任中药师及以上职称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65" w:type="dxa"/>
          </w:tcPr>
          <w:p>
            <w:pPr>
              <w:widowControl/>
              <w:spacing w:line="360" w:lineRule="auto"/>
              <w:jc w:val="center"/>
              <w:rPr>
                <w:rFonts w:ascii="Times New Roman" w:hAnsi="Times New Roman" w:eastAsia="宋体" w:cs="Times New Roman"/>
                <w:sz w:val="24"/>
                <w:szCs w:val="24"/>
                <w:highlight w:val="none"/>
              </w:rPr>
            </w:pPr>
            <w:r>
              <w:rPr>
                <w:rFonts w:hint="eastAsia" w:ascii="宋体" w:eastAsia="宋体" w:cs="宋体"/>
                <w:kern w:val="0"/>
                <w:sz w:val="24"/>
                <w:szCs w:val="24"/>
                <w:highlight w:val="none"/>
              </w:rPr>
              <w:t>研发人员</w:t>
            </w:r>
          </w:p>
        </w:tc>
        <w:tc>
          <w:tcPr>
            <w:tcW w:w="2765" w:type="dxa"/>
          </w:tcPr>
          <w:p>
            <w:pPr>
              <w:widowControl/>
              <w:spacing w:line="360" w:lineRule="auto"/>
              <w:jc w:val="center"/>
              <w:rPr>
                <w:rFonts w:ascii="Times New Roman" w:hAnsi="Times New Roman" w:eastAsia="宋体" w:cs="Times New Roman"/>
                <w:sz w:val="24"/>
                <w:szCs w:val="24"/>
                <w:highlight w:val="none"/>
              </w:rPr>
            </w:pPr>
            <w:r>
              <w:rPr>
                <w:rFonts w:hint="eastAsia" w:ascii="宋体" w:eastAsia="宋体" w:cs="宋体"/>
                <w:kern w:val="0"/>
                <w:sz w:val="24"/>
                <w:szCs w:val="24"/>
                <w:highlight w:val="none"/>
              </w:rPr>
              <w:t>中药学相关专业</w:t>
            </w:r>
          </w:p>
        </w:tc>
        <w:tc>
          <w:tcPr>
            <w:tcW w:w="2766" w:type="dxa"/>
          </w:tcPr>
          <w:p>
            <w:pPr>
              <w:widowControl/>
              <w:spacing w:line="360" w:lineRule="auto"/>
              <w:jc w:val="center"/>
              <w:rPr>
                <w:rFonts w:ascii="Times New Roman" w:hAnsi="Times New Roman" w:eastAsia="宋体" w:cs="Times New Roman"/>
                <w:sz w:val="24"/>
                <w:szCs w:val="24"/>
                <w:highlight w:val="none"/>
              </w:rPr>
            </w:pPr>
            <w:r>
              <w:rPr>
                <w:rFonts w:hint="eastAsia" w:ascii="宋体" w:eastAsia="宋体" w:cs="宋体"/>
                <w:kern w:val="0"/>
                <w:sz w:val="24"/>
                <w:szCs w:val="24"/>
                <w:highlight w:val="none"/>
                <w:lang w:eastAsia="zh-CN"/>
              </w:rPr>
              <w:t>助理研究员或主管中药师</w:t>
            </w:r>
            <w:r>
              <w:rPr>
                <w:rFonts w:hint="eastAsia" w:ascii="宋体" w:eastAsia="宋体" w:cs="宋体"/>
                <w:kern w:val="0"/>
                <w:sz w:val="24"/>
                <w:szCs w:val="24"/>
                <w:highlight w:val="none"/>
              </w:rPr>
              <w:t>及以上职称</w:t>
            </w:r>
          </w:p>
        </w:tc>
      </w:tr>
    </w:tbl>
    <w:p>
      <w:pPr>
        <w:numPr>
          <w:ilvl w:val="0"/>
          <w:numId w:val="0"/>
        </w:numPr>
        <w:spacing w:line="360" w:lineRule="auto"/>
        <w:ind w:firstLine="480" w:firstLineChars="200"/>
        <w:rPr>
          <w:rFonts w:ascii="Times New Roman" w:hAnsi="Times New Roman" w:eastAsia="宋体" w:cs="Times New Roman"/>
          <w:sz w:val="24"/>
          <w:szCs w:val="24"/>
          <w:highlight w:val="none"/>
        </w:rPr>
      </w:pPr>
      <w:r>
        <w:rPr>
          <w:rFonts w:hint="eastAsia" w:ascii="Times New Roman" w:hAnsi="Times New Roman" w:eastAsia="宋体" w:cs="Times New Roman"/>
          <w:sz w:val="24"/>
          <w:szCs w:val="24"/>
          <w:highlight w:val="none"/>
          <w:lang w:val="en-US" w:eastAsia="zh-CN"/>
        </w:rPr>
        <w:t>5、</w:t>
      </w:r>
      <w:r>
        <w:rPr>
          <w:rFonts w:hint="eastAsia" w:ascii="Times New Roman" w:hAnsi="Times New Roman" w:eastAsia="宋体" w:cs="Times New Roman"/>
          <w:sz w:val="24"/>
          <w:szCs w:val="24"/>
          <w:highlight w:val="none"/>
        </w:rPr>
        <w:t>现场核查要求：</w:t>
      </w:r>
      <w:r>
        <w:rPr>
          <w:rFonts w:hint="eastAsia" w:ascii="Times New Roman" w:hAnsi="Times New Roman" w:eastAsia="宋体" w:cs="Times New Roman"/>
          <w:sz w:val="24"/>
          <w:szCs w:val="24"/>
          <w:highlight w:val="none"/>
        </w:rPr>
        <w:t>若相关部门提出现场核查要求，应协助采购人完成现场核查。</w:t>
      </w:r>
    </w:p>
    <w:p>
      <w:pPr>
        <w:spacing w:line="360" w:lineRule="auto"/>
        <w:rPr>
          <w:rFonts w:ascii="Times New Roman" w:hAnsi="Times New Roman" w:eastAsia="宋体" w:cs="Times New Roman"/>
          <w:b/>
          <w:bCs/>
          <w:sz w:val="24"/>
          <w:szCs w:val="24"/>
          <w:highlight w:val="none"/>
        </w:rPr>
      </w:pPr>
      <w:r>
        <w:rPr>
          <w:rFonts w:ascii="Segoe UI Symbol" w:hAnsi="Segoe UI Symbol" w:eastAsia="宋体" w:cs="Segoe UI Symbol"/>
          <w:b/>
          <w:bCs/>
          <w:sz w:val="24"/>
          <w:szCs w:val="24"/>
          <w:highlight w:val="none"/>
        </w:rPr>
        <w:t>★</w:t>
      </w:r>
      <w:r>
        <w:rPr>
          <w:rFonts w:hint="eastAsia" w:ascii="Times New Roman" w:hAnsi="Times New Roman" w:eastAsia="宋体" w:cs="Times New Roman"/>
          <w:b/>
          <w:bCs/>
          <w:sz w:val="24"/>
          <w:szCs w:val="24"/>
          <w:highlight w:val="none"/>
        </w:rPr>
        <w:t>三</w:t>
      </w:r>
      <w:r>
        <w:rPr>
          <w:rFonts w:ascii="Times New Roman" w:hAnsi="Times New Roman" w:eastAsia="宋体" w:cs="Times New Roman"/>
          <w:b/>
          <w:bCs/>
          <w:sz w:val="24"/>
          <w:szCs w:val="24"/>
          <w:highlight w:val="none"/>
        </w:rPr>
        <w:t>. 商务要求</w:t>
      </w:r>
    </w:p>
    <w:p>
      <w:pPr>
        <w:numPr>
          <w:ilvl w:val="0"/>
          <w:numId w:val="1"/>
        </w:numPr>
        <w:spacing w:line="360" w:lineRule="auto"/>
        <w:rPr>
          <w:rFonts w:hint="eastAsia" w:ascii="Times New Roman" w:hAnsi="Times New Roman" w:eastAsia="宋体" w:cs="Times New Roman"/>
          <w:sz w:val="24"/>
          <w:szCs w:val="24"/>
          <w:highlight w:val="none"/>
        </w:rPr>
      </w:pPr>
      <w:r>
        <w:rPr>
          <w:rFonts w:hint="eastAsia" w:ascii="Times New Roman" w:hAnsi="Times New Roman" w:eastAsia="宋体" w:cs="Times New Roman"/>
          <w:sz w:val="24"/>
          <w:szCs w:val="24"/>
          <w:highlight w:val="none"/>
        </w:rPr>
        <w:t>服务时间：自签订合同生效之日起，不做毒理研究的品种需</w:t>
      </w:r>
      <w:r>
        <w:rPr>
          <w:rFonts w:ascii="Times New Roman" w:hAnsi="Times New Roman" w:eastAsia="宋体" w:cs="Times New Roman"/>
          <w:sz w:val="24"/>
          <w:szCs w:val="24"/>
          <w:highlight w:val="none"/>
        </w:rPr>
        <w:t>18</w:t>
      </w:r>
      <w:r>
        <w:rPr>
          <w:rFonts w:hint="eastAsia" w:ascii="Times New Roman" w:hAnsi="Times New Roman" w:eastAsia="宋体" w:cs="Times New Roman"/>
          <w:sz w:val="24"/>
          <w:szCs w:val="24"/>
          <w:highlight w:val="none"/>
        </w:rPr>
        <w:t>个月</w:t>
      </w:r>
      <w:r>
        <w:rPr>
          <w:rFonts w:ascii="Times New Roman" w:hAnsi="Times New Roman" w:eastAsia="宋体" w:cs="Times New Roman"/>
          <w:sz w:val="24"/>
          <w:szCs w:val="24"/>
          <w:highlight w:val="none"/>
        </w:rPr>
        <w:t>内完成</w:t>
      </w:r>
      <w:r>
        <w:rPr>
          <w:rFonts w:hint="eastAsia" w:ascii="Times New Roman" w:hAnsi="Times New Roman" w:eastAsia="宋体" w:cs="Times New Roman"/>
          <w:sz w:val="24"/>
          <w:szCs w:val="24"/>
          <w:highlight w:val="none"/>
        </w:rPr>
        <w:t>备案资料，协助将备案资料上传至四川省药品监督管理局平台备案取得备案号，协助通过四川省药品监督管理局的现场核查。</w:t>
      </w:r>
    </w:p>
    <w:p>
      <w:pPr>
        <w:pStyle w:val="2"/>
        <w:numPr>
          <w:ilvl w:val="0"/>
          <w:numId w:val="1"/>
        </w:numPr>
        <w:rPr>
          <w:rFonts w:hint="eastAsia" w:ascii="Times New Roman" w:hAnsi="Times New Roman" w:eastAsia="宋体" w:cs="Times New Roman"/>
          <w:kern w:val="2"/>
          <w:sz w:val="24"/>
          <w:szCs w:val="24"/>
          <w:highlight w:val="none"/>
          <w:lang w:val="en-US" w:eastAsia="zh-CN" w:bidi="ar-SA"/>
        </w:rPr>
      </w:pPr>
      <w:r>
        <w:rPr>
          <w:rFonts w:hint="eastAsia" w:ascii="Times New Roman" w:hAnsi="Times New Roman" w:eastAsia="宋体" w:cs="Times New Roman"/>
          <w:kern w:val="2"/>
          <w:sz w:val="24"/>
          <w:szCs w:val="24"/>
          <w:highlight w:val="none"/>
          <w:lang w:val="en-US" w:eastAsia="zh-CN" w:bidi="ar-SA"/>
        </w:rPr>
        <w:t>服务地点：备案相关研究由供应商自行安排场地，资料移交、备案等工作场地由采购人、供应商双方协商解决。</w:t>
      </w:r>
    </w:p>
    <w:p>
      <w:pPr>
        <w:numPr>
          <w:ilvl w:val="0"/>
          <w:numId w:val="1"/>
        </w:numPr>
        <w:spacing w:line="360" w:lineRule="auto"/>
        <w:ind w:left="0" w:leftChars="0" w:firstLine="0" w:firstLineChars="0"/>
        <w:rPr>
          <w:rFonts w:hint="eastAsia" w:ascii="Times New Roman" w:hAnsi="Times New Roman" w:eastAsia="宋体" w:cs="Times New Roman"/>
          <w:sz w:val="24"/>
          <w:szCs w:val="24"/>
          <w:highlight w:val="none"/>
        </w:rPr>
      </w:pPr>
      <w:r>
        <w:rPr>
          <w:rFonts w:hint="eastAsia" w:ascii="Times New Roman" w:hAnsi="Times New Roman" w:eastAsia="宋体" w:cs="Times New Roman"/>
          <w:sz w:val="24"/>
          <w:szCs w:val="24"/>
          <w:highlight w:val="none"/>
        </w:rPr>
        <w:t>验收标准：取得四川省省药监局颁发的备案号。</w:t>
      </w:r>
      <w:r>
        <w:rPr>
          <w:rFonts w:hint="eastAsia" w:ascii="Times New Roman" w:hAnsi="Times New Roman" w:eastAsia="宋体" w:cs="Times New Roman"/>
          <w:sz w:val="24"/>
          <w:szCs w:val="24"/>
          <w:highlight w:val="none"/>
        </w:rPr>
        <w:t>项目验收结果合格的，采购人按合同约定支付采购资金；验收结果不合格且拒不整改的，将不予支付采购资金，</w:t>
      </w:r>
      <w:r>
        <w:rPr>
          <w:rFonts w:hint="eastAsia" w:ascii="Times New Roman" w:hAnsi="Times New Roman" w:eastAsia="宋体" w:cs="Times New Roman"/>
          <w:sz w:val="24"/>
          <w:szCs w:val="24"/>
          <w:highlight w:val="none"/>
          <w:lang w:eastAsia="zh-CN"/>
        </w:rPr>
        <w:t>并</w:t>
      </w:r>
      <w:r>
        <w:rPr>
          <w:rFonts w:hint="eastAsia" w:ascii="Times New Roman" w:hAnsi="Times New Roman" w:eastAsia="宋体" w:cs="Times New Roman"/>
          <w:sz w:val="24"/>
          <w:szCs w:val="24"/>
          <w:highlight w:val="none"/>
        </w:rPr>
        <w:t>上报本项目同级财政部门按照政府采购法律法规给予行政处罚或者以失信行为记入诚信档案。</w:t>
      </w:r>
    </w:p>
    <w:p>
      <w:pPr>
        <w:numPr>
          <w:ilvl w:val="0"/>
          <w:numId w:val="0"/>
        </w:numPr>
        <w:spacing w:line="360" w:lineRule="auto"/>
        <w:ind w:leftChars="0" w:firstLine="480" w:firstLineChars="200"/>
        <w:rPr>
          <w:rFonts w:hint="eastAsia" w:ascii="Times New Roman" w:hAnsi="Times New Roman" w:eastAsia="宋体" w:cs="Times New Roman"/>
          <w:sz w:val="24"/>
          <w:szCs w:val="24"/>
          <w:highlight w:val="none"/>
          <w:lang w:eastAsia="zh-CN"/>
        </w:rPr>
      </w:pPr>
      <w:r>
        <w:rPr>
          <w:rFonts w:hint="eastAsia" w:ascii="Times New Roman" w:hAnsi="Times New Roman" w:eastAsia="宋体" w:cs="Times New Roman"/>
          <w:sz w:val="24"/>
          <w:szCs w:val="24"/>
          <w:highlight w:val="none"/>
        </w:rPr>
        <w:t>参照《财政部关于进一步加强政府采购需求和履约验收管理的指导意见》(财库(2016) 205号)、《四川省政府采购项目需求论证和履约验收管理办法》（川财采〔2015〕32号）的要求进行</w:t>
      </w:r>
      <w:r>
        <w:rPr>
          <w:rFonts w:hint="eastAsia" w:ascii="Times New Roman" w:hAnsi="Times New Roman" w:eastAsia="宋体" w:cs="Times New Roman"/>
          <w:sz w:val="24"/>
          <w:szCs w:val="24"/>
          <w:highlight w:val="none"/>
          <w:lang w:eastAsia="zh-CN"/>
        </w:rPr>
        <w:t>验收</w:t>
      </w:r>
      <w:r>
        <w:rPr>
          <w:rFonts w:hint="eastAsia" w:ascii="Times New Roman" w:hAnsi="Times New Roman" w:eastAsia="宋体" w:cs="Times New Roman"/>
          <w:sz w:val="24"/>
          <w:szCs w:val="24"/>
          <w:highlight w:val="none"/>
        </w:rPr>
        <w:t>。</w:t>
      </w:r>
    </w:p>
    <w:p>
      <w:pPr>
        <w:spacing w:line="360" w:lineRule="auto"/>
        <w:rPr>
          <w:rFonts w:ascii="Times New Roman" w:hAnsi="Times New Roman" w:eastAsia="宋体" w:cs="Times New Roman"/>
          <w:sz w:val="24"/>
          <w:szCs w:val="24"/>
          <w:highlight w:val="none"/>
        </w:rPr>
      </w:pPr>
      <w:r>
        <w:rPr>
          <w:rFonts w:hint="eastAsia" w:ascii="Times New Roman" w:hAnsi="Times New Roman" w:eastAsia="宋体" w:cs="Times New Roman"/>
          <w:sz w:val="24"/>
          <w:szCs w:val="24"/>
          <w:highlight w:val="none"/>
        </w:rPr>
        <w:t>4</w:t>
      </w:r>
      <w:r>
        <w:rPr>
          <w:rFonts w:ascii="Times New Roman" w:hAnsi="Times New Roman" w:eastAsia="宋体" w:cs="Times New Roman"/>
          <w:sz w:val="24"/>
          <w:szCs w:val="24"/>
          <w:highlight w:val="none"/>
        </w:rPr>
        <w:t xml:space="preserve">. </w:t>
      </w:r>
      <w:r>
        <w:rPr>
          <w:rFonts w:hint="eastAsia" w:ascii="Times New Roman" w:hAnsi="Times New Roman" w:eastAsia="宋体" w:cs="Times New Roman"/>
          <w:sz w:val="24"/>
          <w:szCs w:val="24"/>
          <w:highlight w:val="none"/>
        </w:rPr>
        <w:t>售后服务要求：根据提供的备案资料正常生产并达到质检标准。</w:t>
      </w:r>
    </w:p>
    <w:p>
      <w:pPr>
        <w:spacing w:line="360" w:lineRule="auto"/>
        <w:rPr>
          <w:rFonts w:ascii="Times New Roman" w:hAnsi="Times New Roman" w:eastAsia="宋体" w:cs="Times New Roman"/>
          <w:sz w:val="24"/>
          <w:szCs w:val="24"/>
          <w:highlight w:val="none"/>
        </w:rPr>
      </w:pPr>
      <w:r>
        <w:rPr>
          <w:rFonts w:ascii="Times New Roman" w:hAnsi="Times New Roman" w:eastAsia="宋体" w:cs="Times New Roman"/>
          <w:sz w:val="24"/>
          <w:szCs w:val="24"/>
          <w:highlight w:val="none"/>
        </w:rPr>
        <w:t xml:space="preserve">5. </w:t>
      </w:r>
      <w:r>
        <w:rPr>
          <w:rFonts w:hint="eastAsia" w:ascii="Times New Roman" w:hAnsi="Times New Roman" w:eastAsia="宋体" w:cs="Times New Roman"/>
          <w:sz w:val="24"/>
          <w:szCs w:val="24"/>
          <w:highlight w:val="none"/>
        </w:rPr>
        <w:t>知识产权：本次委托研发内容的备案申报资料及研究内容、研发成果的知</w:t>
      </w:r>
    </w:p>
    <w:p>
      <w:pPr>
        <w:spacing w:line="360" w:lineRule="auto"/>
        <w:rPr>
          <w:rFonts w:ascii="Times New Roman" w:hAnsi="Times New Roman" w:eastAsia="宋体" w:cs="Times New Roman"/>
          <w:sz w:val="24"/>
          <w:szCs w:val="24"/>
          <w:highlight w:val="none"/>
        </w:rPr>
      </w:pPr>
      <w:r>
        <w:rPr>
          <w:rFonts w:hint="eastAsia" w:ascii="Times New Roman" w:hAnsi="Times New Roman" w:eastAsia="宋体" w:cs="Times New Roman"/>
          <w:sz w:val="24"/>
          <w:szCs w:val="24"/>
          <w:highlight w:val="none"/>
        </w:rPr>
        <w:t>识产权全部由招标人富顺县中医医院所有。</w:t>
      </w:r>
    </w:p>
    <w:p>
      <w:pPr>
        <w:spacing w:line="360" w:lineRule="auto"/>
        <w:rPr>
          <w:rFonts w:hint="eastAsia" w:ascii="Times New Roman" w:hAnsi="Times New Roman" w:eastAsia="宋体" w:cs="Times New Roman"/>
          <w:sz w:val="24"/>
          <w:szCs w:val="24"/>
          <w:highlight w:val="none"/>
        </w:rPr>
      </w:pPr>
      <w:r>
        <w:rPr>
          <w:rFonts w:hint="eastAsia" w:ascii="Times New Roman" w:hAnsi="Times New Roman" w:eastAsia="宋体" w:cs="Times New Roman"/>
          <w:sz w:val="24"/>
          <w:szCs w:val="24"/>
          <w:highlight w:val="none"/>
        </w:rPr>
        <w:t>6</w:t>
      </w:r>
      <w:r>
        <w:rPr>
          <w:rFonts w:ascii="Times New Roman" w:hAnsi="Times New Roman" w:eastAsia="宋体" w:cs="Times New Roman"/>
          <w:sz w:val="24"/>
          <w:szCs w:val="24"/>
          <w:highlight w:val="none"/>
        </w:rPr>
        <w:t xml:space="preserve">. </w:t>
      </w:r>
      <w:r>
        <w:rPr>
          <w:rFonts w:hint="eastAsia" w:ascii="Times New Roman" w:hAnsi="Times New Roman" w:eastAsia="宋体" w:cs="Times New Roman"/>
          <w:sz w:val="24"/>
          <w:szCs w:val="24"/>
          <w:highlight w:val="none"/>
        </w:rPr>
        <w:t>保密要求：</w:t>
      </w:r>
      <w:r>
        <w:rPr>
          <w:rFonts w:hint="eastAsia" w:ascii="Times New Roman" w:hAnsi="Times New Roman" w:eastAsia="宋体" w:cs="Times New Roman"/>
          <w:sz w:val="24"/>
          <w:szCs w:val="24"/>
          <w:highlight w:val="none"/>
        </w:rPr>
        <w:t>中标人需对采购人提供的所有信息保密</w:t>
      </w:r>
      <w:r>
        <w:rPr>
          <w:rFonts w:hint="eastAsia" w:ascii="Times New Roman" w:hAnsi="Times New Roman" w:eastAsia="宋体" w:cs="Times New Roman"/>
          <w:sz w:val="24"/>
          <w:szCs w:val="24"/>
          <w:highlight w:val="none"/>
          <w:lang w:eastAsia="zh-CN"/>
        </w:rPr>
        <w:t>，</w:t>
      </w:r>
      <w:r>
        <w:rPr>
          <w:rFonts w:hint="eastAsia" w:ascii="Times New Roman" w:hAnsi="Times New Roman" w:eastAsia="宋体" w:cs="Times New Roman"/>
          <w:sz w:val="24"/>
          <w:szCs w:val="24"/>
          <w:highlight w:val="none"/>
        </w:rPr>
        <w:t>不得将委托研发内容的申报资料、研究内容、研究成果及其相关知识产权泄露给第三方。</w:t>
      </w:r>
    </w:p>
    <w:p>
      <w:pPr>
        <w:spacing w:line="360" w:lineRule="auto"/>
        <w:rPr>
          <w:rFonts w:hint="eastAsia" w:ascii="Times New Roman" w:hAnsi="Times New Roman" w:eastAsia="宋体" w:cs="Times New Roman"/>
          <w:sz w:val="24"/>
          <w:szCs w:val="24"/>
          <w:highlight w:val="none"/>
          <w:lang w:val="en-US" w:eastAsia="zh-CN"/>
        </w:rPr>
      </w:pPr>
      <w:r>
        <w:rPr>
          <w:highlight w:val="none"/>
        </w:rPr>
        <w:t>★</w:t>
      </w:r>
      <w:r>
        <w:rPr>
          <w:rFonts w:hint="eastAsia" w:ascii="Times New Roman" w:hAnsi="Times New Roman" w:eastAsia="宋体" w:cs="Times New Roman"/>
          <w:sz w:val="24"/>
          <w:szCs w:val="24"/>
          <w:highlight w:val="none"/>
          <w:lang w:val="en-US" w:eastAsia="zh-CN"/>
        </w:rPr>
        <w:t>7.</w:t>
      </w:r>
      <w:r>
        <w:rPr>
          <w:rFonts w:hint="eastAsia" w:ascii="Times New Roman" w:hAnsi="Times New Roman" w:eastAsia="宋体" w:cs="Times New Roman"/>
          <w:sz w:val="24"/>
          <w:szCs w:val="24"/>
          <w:highlight w:val="none"/>
          <w:lang w:val="en-US" w:eastAsia="zh-CN"/>
        </w:rPr>
        <w:t>如服务成果经供应商3次整改仍不能达到合同约定的质量标准，采购人有权不接收服务成果，并视作供应商所交付的服务成果不符合合同规定而须支付违约赔偿金给采购人，采购人还可依法追究供应商的违约责任。</w:t>
      </w:r>
    </w:p>
    <w:p>
      <w:pPr>
        <w:spacing w:line="360" w:lineRule="auto"/>
        <w:rPr>
          <w:rFonts w:hint="default" w:ascii="Times New Roman" w:hAnsi="Times New Roman" w:eastAsia="宋体" w:cs="Times New Roman"/>
          <w:sz w:val="24"/>
          <w:szCs w:val="24"/>
          <w:highlight w:val="none"/>
          <w:lang w:val="en-US" w:eastAsia="zh-CN"/>
        </w:rPr>
      </w:pPr>
      <w:r>
        <w:rPr>
          <w:rFonts w:hint="eastAsia" w:ascii="Times New Roman" w:hAnsi="Times New Roman" w:eastAsia="宋体" w:cs="Times New Roman"/>
          <w:sz w:val="24"/>
          <w:szCs w:val="24"/>
          <w:highlight w:val="none"/>
          <w:lang w:val="en-US" w:eastAsia="zh-CN"/>
        </w:rPr>
        <w:t>8.供应商具有类似项目履约经验。</w:t>
      </w:r>
      <w:r>
        <w:rPr>
          <w:rFonts w:hint="eastAsia" w:ascii="Times New Roman" w:hAnsi="Times New Roman" w:eastAsia="宋体" w:cs="Times New Roman"/>
          <w:sz w:val="24"/>
          <w:szCs w:val="24"/>
          <w:highlight w:val="none"/>
          <w:lang w:val="en-US" w:eastAsia="zh-CN"/>
        </w:rPr>
        <w:t>（以取得四川省药品监督管理局备案信息平台的制剂备案号及备案信息，并提供医疗机构的制剂研发备案委托协议相关合同）</w:t>
      </w:r>
    </w:p>
    <w:p>
      <w:pPr>
        <w:spacing w:line="360" w:lineRule="auto"/>
        <w:ind w:firstLine="480" w:firstLineChars="200"/>
        <w:jc w:val="center"/>
        <w:rPr>
          <w:rFonts w:ascii="Times New Roman" w:hAnsi="Times New Roman" w:eastAsia="宋体" w:cs="Times New Roman"/>
          <w:sz w:val="24"/>
          <w:szCs w:val="24"/>
          <w:highlight w:val="none"/>
        </w:rPr>
      </w:pP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w:altName w:val="Arial Unicode MS"/>
    <w:panose1 w:val="02010600030101010101"/>
    <w:charset w:val="86"/>
    <w:family w:val="auto"/>
    <w:pitch w:val="default"/>
    <w:sig w:usb0="00000000" w:usb1="00000000" w:usb2="00000016" w:usb3="00000000" w:csb0="0004000F" w:csb1="00000000"/>
  </w:font>
  <w:font w:name="Segoe UI Symbol">
    <w:panose1 w:val="020B0502040204020203"/>
    <w:charset w:val="00"/>
    <w:family w:val="swiss"/>
    <w:pitch w:val="default"/>
    <w:sig w:usb0="8000006F" w:usb1="1200FBEF" w:usb2="0064C000" w:usb3="00000002" w:csb0="00000001" w:csb1="40000000"/>
  </w:font>
  <w:font w:name="等线">
    <w:altName w:val="Arial Unicode MS"/>
    <w:panose1 w:val="00000000000000000000"/>
    <w:charset w:val="00"/>
    <w:family w:val="auto"/>
    <w:pitch w:val="default"/>
    <w:sig w:usb0="00000000" w:usb1="00000000" w:usb2="00000000" w:usb3="00000000" w:csb0="00000000" w:csb1="00000000"/>
  </w:font>
  <w:font w:name="Arial Unicode MS">
    <w:panose1 w:val="020B0604020202020204"/>
    <w:charset w:val="86"/>
    <w:family w:val="auto"/>
    <w:pitch w:val="default"/>
    <w:sig w:usb0="FFFFFFFF" w:usb1="E9FFFFFF" w:usb2="0000003F" w:usb3="00000000" w:csb0="603F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pPr>
                            <w:pStyle w:val="5"/>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">
              <v:fill on="f" focussize="0,0"/>
              <v:stroke on="f" weight="0.5pt"/>
              <v:imagedata o:title=""/>
              <o:lock v:ext="edit" aspectratio="f"/>
              <v:textbox inset="0mm,0mm,0mm,0mm" style="mso-fit-shape-to-text:t;">
                <w:txbxContent>
                  <w:p>
                    <w:pPr>
                      <w:pStyle w:val="5"/>
                    </w:pPr>
                    <w:r>
                      <w:fldChar w:fldCharType="begin"/>
                    </w:r>
                    <w:r>
                      <w:instrText xml:space="preserve"> PAGE  \* MERGEFORMAT </w:instrText>
                    </w:r>
                    <w:r>
                      <w:fldChar w:fldCharType="separate"/>
                    </w:r>
                    <w:r>
                      <w:t>1</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3498F19"/>
    <w:multiLevelType w:val="singleLevel"/>
    <w:tmpl w:val="23498F19"/>
    <w:lvl w:ilvl="0" w:tentative="0">
      <w:start w:val="1"/>
      <w:numFmt w:val="decimal"/>
      <w:suff w:val="space"/>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GI2YTk3YzhmYmE5MzUxM2FiYzM1OTcxYTQ2Y2EwMDkifQ=="/>
  </w:docVars>
  <w:rsids>
    <w:rsidRoot w:val="00CD452B"/>
    <w:rsid w:val="00066390"/>
    <w:rsid w:val="0010779B"/>
    <w:rsid w:val="001116DD"/>
    <w:rsid w:val="00195606"/>
    <w:rsid w:val="001A7FA7"/>
    <w:rsid w:val="00222894"/>
    <w:rsid w:val="00281D4E"/>
    <w:rsid w:val="002A0DB3"/>
    <w:rsid w:val="002C0AC2"/>
    <w:rsid w:val="002E7B08"/>
    <w:rsid w:val="00321244"/>
    <w:rsid w:val="003707D3"/>
    <w:rsid w:val="003E3B18"/>
    <w:rsid w:val="00400F0E"/>
    <w:rsid w:val="00431059"/>
    <w:rsid w:val="00515989"/>
    <w:rsid w:val="00520DC0"/>
    <w:rsid w:val="0053073E"/>
    <w:rsid w:val="0053524A"/>
    <w:rsid w:val="00545969"/>
    <w:rsid w:val="00597D42"/>
    <w:rsid w:val="006279CB"/>
    <w:rsid w:val="0063778F"/>
    <w:rsid w:val="00647A89"/>
    <w:rsid w:val="006D4F07"/>
    <w:rsid w:val="007006DE"/>
    <w:rsid w:val="007623AE"/>
    <w:rsid w:val="00777D89"/>
    <w:rsid w:val="00793405"/>
    <w:rsid w:val="007B3C43"/>
    <w:rsid w:val="007F099D"/>
    <w:rsid w:val="008F3CCF"/>
    <w:rsid w:val="00905696"/>
    <w:rsid w:val="00917FA7"/>
    <w:rsid w:val="009413BF"/>
    <w:rsid w:val="00941BB7"/>
    <w:rsid w:val="00972047"/>
    <w:rsid w:val="009B023A"/>
    <w:rsid w:val="009B1886"/>
    <w:rsid w:val="009E69E2"/>
    <w:rsid w:val="009F1EB1"/>
    <w:rsid w:val="00A315FE"/>
    <w:rsid w:val="00A31984"/>
    <w:rsid w:val="00A34372"/>
    <w:rsid w:val="00A65E4E"/>
    <w:rsid w:val="00A81991"/>
    <w:rsid w:val="00AB1B58"/>
    <w:rsid w:val="00AD32EF"/>
    <w:rsid w:val="00BE68BB"/>
    <w:rsid w:val="00C03F92"/>
    <w:rsid w:val="00C477CC"/>
    <w:rsid w:val="00C63E0E"/>
    <w:rsid w:val="00C85654"/>
    <w:rsid w:val="00CB2CAC"/>
    <w:rsid w:val="00CB7B89"/>
    <w:rsid w:val="00CD13B8"/>
    <w:rsid w:val="00CD452B"/>
    <w:rsid w:val="00CD6A9A"/>
    <w:rsid w:val="00D3027E"/>
    <w:rsid w:val="00D908A2"/>
    <w:rsid w:val="00DC2690"/>
    <w:rsid w:val="00DD17F6"/>
    <w:rsid w:val="00E53A92"/>
    <w:rsid w:val="00E90519"/>
    <w:rsid w:val="00EC7260"/>
    <w:rsid w:val="00F13611"/>
    <w:rsid w:val="00F21569"/>
    <w:rsid w:val="00F5579F"/>
    <w:rsid w:val="00FA0130"/>
    <w:rsid w:val="09D2771E"/>
    <w:rsid w:val="0D2A7EB9"/>
    <w:rsid w:val="18E50A85"/>
    <w:rsid w:val="1AB65F42"/>
    <w:rsid w:val="1BF01BAD"/>
    <w:rsid w:val="1D317B3D"/>
    <w:rsid w:val="21EF529B"/>
    <w:rsid w:val="2532799E"/>
    <w:rsid w:val="2D555A65"/>
    <w:rsid w:val="383B66D9"/>
    <w:rsid w:val="43326DB3"/>
    <w:rsid w:val="44955472"/>
    <w:rsid w:val="48CE4AA4"/>
    <w:rsid w:val="5B427539"/>
    <w:rsid w:val="5F1F0D68"/>
    <w:rsid w:val="60006DD6"/>
    <w:rsid w:val="60206354"/>
    <w:rsid w:val="64420DBD"/>
    <w:rsid w:val="6A9E45C1"/>
    <w:rsid w:val="6FAC07EB"/>
    <w:rsid w:val="737B0F07"/>
    <w:rsid w:val="78E73A5B"/>
    <w:rsid w:val="7B7B54DB"/>
    <w:rsid w:val="7D56740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0" w:semiHidden="0" w:name="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4">
    <w:name w:val="heading 1"/>
    <w:basedOn w:val="1"/>
    <w:next w:val="1"/>
    <w:qFormat/>
    <w:uiPriority w:val="9"/>
    <w:pPr>
      <w:spacing w:before="0" w:beforeAutospacing="1" w:after="0" w:afterAutospacing="1"/>
      <w:jc w:val="left"/>
    </w:pPr>
    <w:rPr>
      <w:rFonts w:hint="eastAsia" w:ascii="宋体" w:hAnsi="宋体" w:eastAsia="宋体" w:cs="宋体"/>
      <w:b/>
      <w:bCs/>
      <w:kern w:val="44"/>
      <w:sz w:val="48"/>
      <w:szCs w:val="48"/>
      <w:lang w:val="en-US" w:eastAsia="zh-CN" w:bidi="ar"/>
    </w:rPr>
  </w:style>
  <w:style w:type="character" w:default="1" w:styleId="9">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3"/>
    <w:qFormat/>
    <w:uiPriority w:val="0"/>
    <w:pPr>
      <w:spacing w:after="120"/>
    </w:pPr>
    <w:rPr>
      <w:rFonts w:ascii="Times New Roman" w:hAnsi="Times New Roman" w:eastAsia="宋体" w:cs="Times New Roman"/>
    </w:rPr>
  </w:style>
  <w:style w:type="paragraph" w:styleId="3">
    <w:name w:val="Quote"/>
    <w:basedOn w:val="1"/>
    <w:next w:val="1"/>
    <w:qFormat/>
    <w:uiPriority w:val="0"/>
    <w:pPr>
      <w:wordWrap w:val="0"/>
      <w:spacing w:before="200" w:after="160"/>
      <w:ind w:left="864" w:right="864"/>
      <w:jc w:val="center"/>
    </w:pPr>
    <w:rPr>
      <w:rFonts w:ascii="Times New Roman" w:hAnsi="Times New Roman" w:eastAsia="宋体" w:cs="Times New Roman"/>
      <w:i/>
    </w:rPr>
  </w:style>
  <w:style w:type="paragraph" w:styleId="5">
    <w:name w:val="footer"/>
    <w:basedOn w:val="1"/>
    <w:link w:val="11"/>
    <w:unhideWhenUsed/>
    <w:qFormat/>
    <w:uiPriority w:val="99"/>
    <w:pPr>
      <w:tabs>
        <w:tab w:val="center" w:pos="4153"/>
        <w:tab w:val="right" w:pos="8306"/>
      </w:tabs>
      <w:snapToGrid w:val="0"/>
      <w:jc w:val="left"/>
    </w:pPr>
    <w:rPr>
      <w:sz w:val="18"/>
      <w:szCs w:val="18"/>
    </w:rPr>
  </w:style>
  <w:style w:type="paragraph" w:styleId="6">
    <w:name w:val="header"/>
    <w:basedOn w:val="1"/>
    <w:link w:val="10"/>
    <w:unhideWhenUsed/>
    <w:qFormat/>
    <w:uiPriority w:val="99"/>
    <w:pPr>
      <w:tabs>
        <w:tab w:val="center" w:pos="4153"/>
        <w:tab w:val="right" w:pos="8306"/>
      </w:tabs>
      <w:snapToGrid w:val="0"/>
      <w:jc w:val="center"/>
    </w:pPr>
    <w:rPr>
      <w:sz w:val="18"/>
      <w:szCs w:val="18"/>
    </w:rPr>
  </w:style>
  <w:style w:type="table" w:styleId="8">
    <w:name w:val="Table Grid"/>
    <w:basedOn w:val="7"/>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0">
    <w:name w:val="页眉 字符"/>
    <w:basedOn w:val="9"/>
    <w:link w:val="6"/>
    <w:qFormat/>
    <w:uiPriority w:val="99"/>
    <w:rPr>
      <w:sz w:val="18"/>
      <w:szCs w:val="18"/>
    </w:rPr>
  </w:style>
  <w:style w:type="character" w:customStyle="1" w:styleId="11">
    <w:name w:val="页脚 字符"/>
    <w:basedOn w:val="9"/>
    <w:link w:val="5"/>
    <w:qFormat/>
    <w:uiPriority w:val="99"/>
    <w:rPr>
      <w:sz w:val="18"/>
      <w:szCs w:val="18"/>
    </w:rPr>
  </w:style>
  <w:style w:type="paragraph" w:styleId="12">
    <w:name w:val="List Paragraph"/>
    <w:basedOn w:val="1"/>
    <w:qFormat/>
    <w:uiPriority w:val="34"/>
    <w:pPr>
      <w:ind w:firstLine="420" w:firstLineChars="200"/>
    </w:pPr>
  </w:style>
  <w:style w:type="paragraph" w:customStyle="1" w:styleId="13">
    <w:name w:val="null3"/>
    <w:hidden/>
    <w:qFormat/>
    <w:uiPriority w:val="0"/>
    <w:rPr>
      <w:rFonts w:hint="eastAsia" w:asciiTheme="minorHAnsi" w:hAnsiTheme="minorHAnsi" w:eastAsiaTheme="minorEastAsia" w:cstheme="minorBidi"/>
      <w:lang w:val="en-US" w:eastAsia="zh-Hans"/>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5</Pages>
  <Words>2766</Words>
  <Characters>2806</Characters>
  <Lines>21</Lines>
  <Paragraphs>5</Paragraphs>
  <TotalTime>7</TotalTime>
  <ScaleCrop>false</ScaleCrop>
  <LinksUpToDate>false</LinksUpToDate>
  <CharactersWithSpaces>2819</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2023-07-11T03:23:00Z</dcterms:created>
  <dc:creator>Zhu Jayden</dc:creator>
  <cp:lastModifiedBy>WPS_1623059994</cp:lastModifiedBy>
  <cp:lastPrinted>2023-07-12T06:57:21Z</cp:lastPrinted>
  <dcterms:modified xsi:type="dcterms:W3CDTF">2023-07-12T06:58:13Z</dcterms:modified>
  <cp:revision>64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5C232D1686C940369414C42A8512397F_12</vt:lpwstr>
  </property>
</Properties>
</file>